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57438" w:rsidRDefault="00FB6873">
      <w:pPr>
        <w:pStyle w:val="Standard"/>
        <w:spacing w:line="480" w:lineRule="auto"/>
        <w:jc w:val="center"/>
      </w:pPr>
      <w:r>
        <w:rPr>
          <w:rFonts w:ascii="Times New Roman" w:eastAsia="Times New Roman" w:hAnsi="Times New Roman" w:cs="Times New Roman"/>
          <w:b/>
          <w:bCs/>
          <w:sz w:val="32"/>
          <w:szCs w:val="32"/>
        </w:rPr>
        <w:t>Structural Synaptogenesis Superior to Functional Modulation in a Pruning-Based Recurrent Network Model of OCD</w:t>
      </w: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Authors:  </w:t>
      </w:r>
    </w:p>
    <w:p w:rsidR="00557438" w:rsidRDefault="00FB6873">
      <w:pPr>
        <w:pStyle w:val="Standard"/>
        <w:spacing w:line="480" w:lineRule="auto"/>
        <w:jc w:val="both"/>
      </w:pPr>
      <w:r>
        <w:rPr>
          <w:rFonts w:ascii="Times New Roman" w:eastAsia="Times New Roman" w:hAnsi="Times New Roman" w:cs="Times New Roman"/>
        </w:rPr>
        <w:t xml:space="preserve">Ngo Cheung, FHKAM(Psychiatry)  </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Affiliations:  </w:t>
      </w:r>
    </w:p>
    <w:p w:rsidR="00557438" w:rsidRDefault="00FB6873">
      <w:pPr>
        <w:pStyle w:val="Standard"/>
        <w:spacing w:line="480" w:lineRule="auto"/>
        <w:jc w:val="both"/>
      </w:pPr>
      <w:r>
        <w:rPr>
          <w:rFonts w:ascii="Times New Roman" w:eastAsia="Times New Roman" w:hAnsi="Times New Roman" w:cs="Times New Roman"/>
        </w:rPr>
        <w:t xml:space="preserve">¹ Independent Researcher  </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Corresponding Author:  </w:t>
      </w:r>
    </w:p>
    <w:p w:rsidR="00557438" w:rsidRDefault="00FB6873">
      <w:pPr>
        <w:pStyle w:val="Standard"/>
        <w:spacing w:line="480" w:lineRule="auto"/>
        <w:jc w:val="both"/>
      </w:pPr>
      <w:r>
        <w:rPr>
          <w:rFonts w:ascii="Times New Roman" w:eastAsia="Times New Roman" w:hAnsi="Times New Roman" w:cs="Times New Roman"/>
        </w:rPr>
        <w:t xml:space="preserve">Ngo </w:t>
      </w:r>
      <w:r>
        <w:rPr>
          <w:rFonts w:ascii="Times New Roman" w:eastAsia="Times New Roman" w:hAnsi="Times New Roman" w:cs="Times New Roman"/>
        </w:rPr>
        <w:t xml:space="preserve">Cheung, MBBS, FHKAM(Psychiatry)  </w:t>
      </w:r>
    </w:p>
    <w:p w:rsidR="00557438" w:rsidRDefault="00FB6873">
      <w:pPr>
        <w:pStyle w:val="Standard"/>
        <w:spacing w:line="480" w:lineRule="auto"/>
        <w:jc w:val="both"/>
      </w:pPr>
      <w:r>
        <w:rPr>
          <w:rFonts w:ascii="Times New Roman" w:eastAsia="Times New Roman" w:hAnsi="Times New Roman" w:cs="Times New Roman"/>
        </w:rPr>
        <w:t xml:space="preserve">Hong Kong SAR, China  </w:t>
      </w:r>
    </w:p>
    <w:p w:rsidR="00557438" w:rsidRDefault="00FB6873">
      <w:pPr>
        <w:pStyle w:val="Standard"/>
        <w:spacing w:line="480" w:lineRule="auto"/>
        <w:jc w:val="both"/>
      </w:pPr>
      <w:r>
        <w:rPr>
          <w:rFonts w:ascii="Times New Roman" w:eastAsia="Times New Roman" w:hAnsi="Times New Roman" w:cs="Times New Roman"/>
        </w:rPr>
        <w:t xml:space="preserve">Tel: 98768323  </w:t>
      </w:r>
    </w:p>
    <w:p w:rsidR="00557438" w:rsidRDefault="00FB6873">
      <w:pPr>
        <w:pStyle w:val="Standard"/>
        <w:spacing w:line="480" w:lineRule="auto"/>
        <w:jc w:val="both"/>
      </w:pPr>
      <w:r>
        <w:rPr>
          <w:rFonts w:ascii="Times New Roman" w:eastAsia="Times New Roman" w:hAnsi="Times New Roman" w:cs="Times New Roman"/>
        </w:rPr>
        <w:t xml:space="preserve">Email: info@cheungngomedical.com  </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b/>
          <w:bCs/>
        </w:rPr>
        <w:t>Conflict of Interest</w:t>
      </w:r>
      <w:r>
        <w:rPr>
          <w:rFonts w:ascii="Times New Roman" w:eastAsia="Times New Roman" w:hAnsi="Times New Roman" w:cs="Times New Roman"/>
        </w:rPr>
        <w:t>: None declared.</w:t>
      </w:r>
    </w:p>
    <w:p w:rsidR="00557438" w:rsidRDefault="00FB6873">
      <w:pPr>
        <w:pStyle w:val="Standard"/>
        <w:spacing w:line="480" w:lineRule="auto"/>
        <w:jc w:val="both"/>
      </w:pPr>
      <w:r>
        <w:rPr>
          <w:rFonts w:ascii="Times New Roman" w:eastAsia="Times New Roman" w:hAnsi="Times New Roman" w:cs="Times New Roman"/>
          <w:b/>
          <w:bCs/>
        </w:rPr>
        <w:t>Funding Declaration</w:t>
      </w:r>
      <w:r>
        <w:rPr>
          <w:rFonts w:ascii="Times New Roman" w:eastAsia="Times New Roman" w:hAnsi="Times New Roman" w:cs="Times New Roman"/>
        </w:rPr>
        <w:t xml:space="preserve">: This research received no specific grant from any funding agency in the public, </w:t>
      </w:r>
      <w:r>
        <w:rPr>
          <w:rFonts w:ascii="Times New Roman" w:eastAsia="Times New Roman" w:hAnsi="Times New Roman" w:cs="Times New Roman"/>
        </w:rPr>
        <w:t xml:space="preserve">commercial, or not-for-profit sectors.  </w:t>
      </w:r>
    </w:p>
    <w:p w:rsidR="00557438" w:rsidRDefault="00FB6873">
      <w:pPr>
        <w:pStyle w:val="Standard"/>
        <w:spacing w:line="480" w:lineRule="auto"/>
        <w:jc w:val="both"/>
      </w:pPr>
      <w:r>
        <w:rPr>
          <w:rFonts w:ascii="Times New Roman" w:eastAsia="Times New Roman" w:hAnsi="Times New Roman" w:cs="Times New Roman"/>
          <w:b/>
          <w:bCs/>
        </w:rPr>
        <w:t>Ethics Declaration</w:t>
      </w:r>
      <w:r>
        <w:rPr>
          <w:rFonts w:ascii="Times New Roman" w:eastAsia="Times New Roman" w:hAnsi="Times New Roman" w:cs="Times New Roman"/>
        </w:rPr>
        <w:t>: Not applicable.</w:t>
      </w: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2"/>
      </w:pPr>
      <w:bookmarkStart w:id="0" w:name="_ijsayzfykanf"/>
      <w:bookmarkEnd w:id="0"/>
      <w:r>
        <w:t>Abstract</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Background: Obsessive-compulsive disorder (OCD) is characterized by intrusive thoughts and repetitive behaviors, with incomplete response to current treatments su</w:t>
      </w:r>
      <w:r>
        <w:rPr>
          <w:rFonts w:ascii="Times New Roman" w:eastAsia="Times New Roman" w:hAnsi="Times New Roman" w:cs="Times New Roman"/>
        </w:rPr>
        <w:t xml:space="preserve">ggesting limitations in prevailing neurotransmitter-focused models. Emerging evidence implicates dysregulated synaptic pruning—mediated by microglial and complement pathways—as a core neurodevelopmental mechanism, potentially explaining persistent circuit </w:t>
      </w:r>
      <w:r>
        <w:rPr>
          <w:rFonts w:ascii="Times New Roman" w:eastAsia="Times New Roman" w:hAnsi="Times New Roman" w:cs="Times New Roman"/>
        </w:rPr>
        <w:t>immaturity and high relapse rates.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Methods: We developed a gated recurrent unit network approximating cortico-striato-thalamo-cortical dynamics, trained on a rule-switching task sensitive to perseveration. Excessive pruning (95% sparsity, recurrent-biased</w:t>
      </w:r>
      <w:r>
        <w:rPr>
          <w:rFonts w:ascii="Times New Roman" w:eastAsia="Times New Roman" w:hAnsi="Times New Roman" w:cs="Times New Roman"/>
        </w:rPr>
        <w:t>) induced an OCD-like phenotype. From identical pruned baselines, three mechanistically distinct interventions were simulated: rapid gradient-guided synaptogenesis (ketamine-like), prolonged low-learning-rate adaptation with noise annealing (SSRI-like), an</w:t>
      </w:r>
      <w:r>
        <w:rPr>
          <w:rFonts w:ascii="Times New Roman" w:eastAsia="Times New Roman" w:hAnsi="Times New Roman" w:cs="Times New Roman"/>
        </w:rPr>
        <w:t>d tonic inhibitory scaling (neurosteroid-like). An iso-dose pipeline equated network alteration via L1 weight change norms, with parameter sweeps enabling fair cross-mechanism comparison of acute efficacy and relapse vulnerability (secondary pruning).</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Res</w:t>
      </w:r>
      <w:r>
        <w:rPr>
          <w:rFonts w:ascii="Times New Roman" w:eastAsia="Times New Roman" w:hAnsi="Times New Roman" w:cs="Times New Roman"/>
        </w:rPr>
        <w:t>ults: Pruning alone produced marked rigidity (perseverative errors ~0.73). Ketamine-like structural repair dramatically reduced perseveration (~0.23) and restored accuracy, with moderate relapse resistance. SSRI- and neurosteroid-like functional modulation</w:t>
      </w:r>
      <w:r>
        <w:rPr>
          <w:rFonts w:ascii="Times New Roman" w:eastAsia="Times New Roman" w:hAnsi="Times New Roman" w:cs="Times New Roman"/>
        </w:rPr>
        <w:t>s yielded milder, more reversible gains. At matched doses, ketamine-like intervention consistently outperformed others in acute symptom reduction and durability, with highest efficiency at lower doses.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Conclusions: These findings support excessive synapti</w:t>
      </w:r>
      <w:r>
        <w:rPr>
          <w:rFonts w:ascii="Times New Roman" w:eastAsia="Times New Roman" w:hAnsi="Times New Roman" w:cs="Times New Roman"/>
        </w:rPr>
        <w:t>c pruning as a primary driver of OCD-related cognitive inflexibility and demonstrate that treatments promoting structural synaptogenesis offer inherent advantages over functional approaches. The iso-dose framework provides a novel tool for mechanistic ther</w:t>
      </w:r>
      <w:r>
        <w:rPr>
          <w:rFonts w:ascii="Times New Roman" w:eastAsia="Times New Roman" w:hAnsi="Times New Roman" w:cs="Times New Roman"/>
        </w:rPr>
        <w:t>apy ranking, with implications for prioritizing rapid plastogens in clinical guidelines and personalizing care via pruning-related biomarkers.</w:t>
      </w: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2"/>
      </w:pPr>
      <w:bookmarkStart w:id="1" w:name="_9cdt4sxq9iwo"/>
      <w:bookmarkEnd w:id="1"/>
      <w:r>
        <w:t>Introduction</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Obsessive–compulsive disorder (OCD) is common, affecting roughly two to three percent of people, </w:t>
      </w:r>
      <w:r>
        <w:rPr>
          <w:rFonts w:ascii="Times New Roman" w:eastAsia="Times New Roman" w:hAnsi="Times New Roman" w:cs="Times New Roman"/>
        </w:rPr>
        <w:t>and its mix of intrusive thoughts and repetitive rituals can erode work, study, and relationships [1]. Standard care—exposure-based cognitive-behavioural therapy or a selective serotonin re-uptake inhibitor—helps many sufferers, yet full remission is the e</w:t>
      </w:r>
      <w:r>
        <w:rPr>
          <w:rFonts w:ascii="Times New Roman" w:eastAsia="Times New Roman" w:hAnsi="Times New Roman" w:cs="Times New Roman"/>
        </w:rPr>
        <w:t>xception rather than the rule; when treatment stops, relapse is frequent and residual symptoms linger for almost half of patients [2,3].</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For years, most biological accounts have centred on hyperactive cortico-striato-thalamo-cortical loops and on disturbe</w:t>
      </w:r>
      <w:r>
        <w:rPr>
          <w:rFonts w:ascii="Times New Roman" w:eastAsia="Times New Roman" w:hAnsi="Times New Roman" w:cs="Times New Roman"/>
        </w:rPr>
        <w:t>d glutamate, serotonin, and dopamine signalling within those networks [4,5]. These ideas inspired useful symptom-based treatments, but they do not fully explain why the disorder often begins in childhood or why medicines that target the main transmitters l</w:t>
      </w:r>
      <w:r>
        <w:rPr>
          <w:rFonts w:ascii="Times New Roman" w:eastAsia="Times New Roman" w:hAnsi="Times New Roman" w:cs="Times New Roman"/>
        </w:rPr>
        <w:t>eave so many patients only partially improved.</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A new thread has come up recently. Current research on synaptic pruning indicates that excessive removal of connections during adolescence may result in orbitofrontal–striatal circuits lacking plasticity and </w:t>
      </w:r>
      <w:r>
        <w:rPr>
          <w:rFonts w:ascii="Times New Roman" w:eastAsia="Times New Roman" w:hAnsi="Times New Roman" w:cs="Times New Roman"/>
        </w:rPr>
        <w:t>favoring inflexible habit formation [6,7]. Genetic evidence substantiates this perspective: multiple risk variants pertain to complement and microglial pathways that influence pruning, reflecting findings initially documented in schizophrenia [8]. Postmort</w:t>
      </w:r>
      <w:r>
        <w:rPr>
          <w:rFonts w:ascii="Times New Roman" w:eastAsia="Times New Roman" w:hAnsi="Times New Roman" w:cs="Times New Roman"/>
        </w:rPr>
        <w:t>em data showing lower levels of excitatory synaptic markers in the OCD cortex and striatum tell the same story.</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Computational models let researchers test such mechanistic stories in silico. Earlier work has already linked OCD to faulty </w:t>
      </w:r>
      <w:r>
        <w:rPr>
          <w:rFonts w:ascii="Times New Roman" w:eastAsia="Times New Roman" w:hAnsi="Times New Roman" w:cs="Times New Roman"/>
        </w:rPr>
        <w:t>reinforcement learning, oversized uncertainty estimates, and habit dominance [9,10]. What is missing is a model that weaves abnormal pruning into circuit dynamics and compares, on equal footing, treatments that rebuild structure with those that merely damp</w:t>
      </w:r>
      <w:r>
        <w:rPr>
          <w:rFonts w:ascii="Times New Roman" w:eastAsia="Times New Roman" w:hAnsi="Times New Roman" w:cs="Times New Roman"/>
        </w:rPr>
        <w:t>en activity. The study introduced below fills that gap. Using a recurrent network that mimics cortico-striatal interactions, we show how excessive pruning alone can generate the perseveration seen in rule-switching tasks, then pit three treatment motifs—ra</w:t>
      </w:r>
      <w:r>
        <w:rPr>
          <w:rFonts w:ascii="Times New Roman" w:eastAsia="Times New Roman" w:hAnsi="Times New Roman" w:cs="Times New Roman"/>
        </w:rPr>
        <w:t>pid synaptogenesis, gradual functional tuning, and tonic inhibition—against one another under identical dosing conditions. The resulting predictions aim to guide the search for truly disease-modifying care.</w:t>
      </w: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2"/>
      </w:pPr>
      <w:bookmarkStart w:id="2" w:name="_9t2ubfofnsme"/>
      <w:bookmarkEnd w:id="2"/>
      <w:r>
        <w:t>Methods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3" w:name="_x7k1ta4v1vl5"/>
      <w:bookmarkEnd w:id="3"/>
      <w:r>
        <w:t xml:space="preserve">Network Architecture and CSTC </w:t>
      </w:r>
      <w:r>
        <w:t>Circuit Approximation</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All simulations were run in PyTorch (Figure 1). Inputs (two features) passed through a 128-unit linear layer with ReLU activation, into a two-layer gated recurrent unit (GRU; 64 hidden units each, 0.1 dropout), and finally to a four-</w:t>
      </w:r>
      <w:r>
        <w:rPr>
          <w:rFonts w:ascii="Times New Roman" w:eastAsia="Times New Roman" w:hAnsi="Times New Roman" w:cs="Times New Roman"/>
        </w:rPr>
        <w:t>class linear read-out. Recurrent weights took priority during later pruning to mirror the vulnerability of feedback projections in cortico-striato-thalamo-cortical (CSTC) loops. Two independent noise sources were added: Gaussian noise on inputs to mimic ex</w:t>
      </w:r>
      <w:r>
        <w:rPr>
          <w:rFonts w:ascii="Times New Roman" w:eastAsia="Times New Roman" w:hAnsi="Times New Roman" w:cs="Times New Roman"/>
        </w:rPr>
        <w:t>cess glutamate and Gaussian noise on hidden states to mimic stress. A multiplicative scalar (range 0–1) applied to hidden activations represented tonic neurosteroid inhibition.</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4" w:name="_qyx29wsz9asq"/>
      <w:bookmarkEnd w:id="4"/>
      <w:r>
        <w:t>Cognitive Flexibility Task</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To test set shifting, the model learned a rule-swi</w:t>
      </w:r>
      <w:r>
        <w:rPr>
          <w:rFonts w:ascii="Times New Roman" w:eastAsia="Times New Roman" w:hAnsi="Times New Roman" w:cs="Times New Roman"/>
        </w:rPr>
        <w:t>tch task modeled after the Wisconsin Card Sorting Test. Each stimulus was a two-dimensional point drawn from four Gaussian clusters (centres ±1.5, SD 0.8). Labels were assigned by one of four possible rules: X-sign, Y-sign, quadrant, or diagonal. Sequences</w:t>
      </w:r>
      <w:r>
        <w:rPr>
          <w:rFonts w:ascii="Times New Roman" w:eastAsia="Times New Roman" w:hAnsi="Times New Roman" w:cs="Times New Roman"/>
        </w:rPr>
        <w:t xml:space="preserve"> contained 200 trials, with the active rule switching roughly every 50 trials after an initial burn-in. Training used 500 randomly generated sequences; testing used 100 fixed sequences. Batch size was 32.</w:t>
      </w:r>
    </w:p>
    <w:p w:rsidR="00557438" w:rsidRDefault="00FB6873">
      <w:pPr>
        <w:pStyle w:val="Standard"/>
        <w:spacing w:line="480" w:lineRule="auto"/>
        <w:jc w:val="center"/>
      </w:pPr>
      <w:r>
        <w:rPr>
          <w:noProof/>
        </w:rPr>
        <w:drawing>
          <wp:inline distT="0" distB="0" distL="0" distR="0">
            <wp:extent cx="5024902" cy="6284488"/>
            <wp:effectExtent l="0" t="0" r="4298" b="2012"/>
            <wp:docPr id="1"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5024902" cy="6284488"/>
                    </a:xfrm>
                    <a:prstGeom prst="rect">
                      <a:avLst/>
                    </a:prstGeom>
                    <a:noFill/>
                    <a:ln>
                      <a:noFill/>
                      <a:prstDash/>
                    </a:ln>
                  </pic:spPr>
                </pic:pic>
              </a:graphicData>
            </a:graphic>
          </wp:inline>
        </w:drawing>
      </w:r>
    </w:p>
    <w:p w:rsidR="00557438" w:rsidRDefault="00FB6873">
      <w:pPr>
        <w:pStyle w:val="Standard"/>
        <w:spacing w:line="480" w:lineRule="auto"/>
        <w:jc w:val="both"/>
      </w:pPr>
      <w:r>
        <w:rPr>
          <w:rFonts w:ascii="Times New Roman" w:eastAsia="Times New Roman" w:hAnsi="Times New Roman" w:cs="Times New Roman"/>
          <w:b/>
          <w:bCs/>
          <w:i/>
          <w:iCs/>
          <w:sz w:val="16"/>
          <w:szCs w:val="16"/>
        </w:rPr>
        <w:t>Figure 1.</w:t>
      </w:r>
      <w:r>
        <w:rPr>
          <w:rFonts w:ascii="Times New Roman" w:eastAsia="Times New Roman" w:hAnsi="Times New Roman" w:cs="Times New Roman"/>
          <w:i/>
          <w:iCs/>
          <w:sz w:val="16"/>
          <w:szCs w:val="16"/>
        </w:rPr>
        <w:t xml:space="preserve"> Computational Architecture of the CSTC </w:t>
      </w:r>
      <w:r>
        <w:rPr>
          <w:rFonts w:ascii="Times New Roman" w:eastAsia="Times New Roman" w:hAnsi="Times New Roman" w:cs="Times New Roman"/>
          <w:i/>
          <w:iCs/>
          <w:sz w:val="16"/>
          <w:szCs w:val="16"/>
        </w:rPr>
        <w:t xml:space="preserve">Loop Model. The model processes 2D coordinate inputs through a sensory layer, a recurrent integration layer (representing the Cortico-Striato-Thalamo-Cortical loop), and an action selection layer. The architecture integrates three distinct pharmacological </w:t>
      </w:r>
      <w:r>
        <w:rPr>
          <w:rFonts w:ascii="Times New Roman" w:eastAsia="Times New Roman" w:hAnsi="Times New Roman" w:cs="Times New Roman"/>
          <w:i/>
          <w:iCs/>
          <w:sz w:val="16"/>
          <w:szCs w:val="16"/>
        </w:rPr>
        <w:t>mechanisms: 1. Structural (Red/Ketamine): Binary weight masks applied to all linear and recurrent connections simulate synaptic pruning and regrowth. 2. Functional Stability (Purple/SSRI): Additive Gaussian noise injection models stress levels; SSRI treatm</w:t>
      </w:r>
      <w:r>
        <w:rPr>
          <w:rFonts w:ascii="Times New Roman" w:eastAsia="Times New Roman" w:hAnsi="Times New Roman" w:cs="Times New Roman"/>
          <w:i/>
          <w:iCs/>
          <w:sz w:val="16"/>
          <w:szCs w:val="16"/>
        </w:rPr>
        <w:t>ent reduces this noise variance over training epochs. 3. Tonic Inhibition (Purple/Neurosteroid): Multiplicative scaling of hidden states and optional Tanh activation simulate rapid GABAergic damping. The Pruning Manager (not shown in flow) dynamically upda</w:t>
      </w:r>
      <w:r>
        <w:rPr>
          <w:rFonts w:ascii="Times New Roman" w:eastAsia="Times New Roman" w:hAnsi="Times New Roman" w:cs="Times New Roman"/>
          <w:i/>
          <w:iCs/>
          <w:sz w:val="16"/>
          <w:szCs w:val="16"/>
        </w:rPr>
        <w:t>tes the Weight Masks based on magnitude pruning or gradient-guided regrowth.</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5" w:name="_ugipzqv656sv"/>
      <w:bookmarkEnd w:id="5"/>
      <w:r>
        <w:t>Baseline Training and Developmental Pruning</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Networks were first trained "from scratch" for 50 epochs with Adam (learning rate 0.001, gradient-clip 1.0) to reach a healthy baseli</w:t>
      </w:r>
      <w:r>
        <w:rPr>
          <w:rFonts w:ascii="Times New Roman" w:eastAsia="Times New Roman" w:hAnsi="Times New Roman" w:cs="Times New Roman"/>
        </w:rPr>
        <w:t xml:space="preserve">ne (Figure 2). To model excessive adolescent pruning, 95 % of weights were then removed by magnitude pruning, with a 1.2× bias toward recurrent connections. The resulting sparsified networks reliably showed the perseveration typical of OCD‐like behaviour. </w:t>
      </w:r>
      <w:r>
        <w:rPr>
          <w:rFonts w:ascii="Times New Roman" w:eastAsia="Times New Roman" w:hAnsi="Times New Roman" w:cs="Times New Roman"/>
        </w:rPr>
        <w:t>Pruning masks stayed in place for all later steps unless growth was explicitly triggered.</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6" w:name="_t5j1zymti44g"/>
      <w:bookmarkEnd w:id="6"/>
      <w:r>
        <w:t>Treatment Mechanism Simulations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Three treatments started from identical pruned models.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numPr>
          <w:ilvl w:val="0"/>
          <w:numId w:val="2"/>
        </w:numPr>
        <w:spacing w:line="480" w:lineRule="auto"/>
        <w:jc w:val="both"/>
      </w:pPr>
      <w:r>
        <w:rPr>
          <w:rFonts w:ascii="Times New Roman" w:eastAsia="Times New Roman" w:hAnsi="Times New Roman" w:cs="Times New Roman"/>
        </w:rPr>
        <w:t>Ketamine-like: gradient-guided regrowth restored 10–80 % of previously prune</w:t>
      </w:r>
      <w:r>
        <w:rPr>
          <w:rFonts w:ascii="Times New Roman" w:eastAsia="Times New Roman" w:hAnsi="Times New Roman" w:cs="Times New Roman"/>
        </w:rPr>
        <w:t>d weights over five batches, followed by 10 consolidation epochs (learning rate 0.0005).</w:t>
      </w:r>
    </w:p>
    <w:p w:rsidR="00557438" w:rsidRDefault="00FB6873">
      <w:pPr>
        <w:pStyle w:val="Standard"/>
        <w:numPr>
          <w:ilvl w:val="0"/>
          <w:numId w:val="1"/>
        </w:numPr>
        <w:spacing w:line="480" w:lineRule="auto"/>
        <w:jc w:val="both"/>
      </w:pPr>
      <w:r>
        <w:rPr>
          <w:rFonts w:ascii="Times New Roman" w:eastAsia="Times New Roman" w:hAnsi="Times New Roman" w:cs="Times New Roman"/>
        </w:rPr>
        <w:t xml:space="preserve">SSRI-like: networks continued training for up to 120 epochs at a learning rate of 1 × 10⁻⁵ while recurrent noise was linearly reduced from 0.4 to zero; the </w:t>
      </w:r>
      <w:r>
        <w:rPr>
          <w:rFonts w:ascii="Times New Roman" w:eastAsia="Times New Roman" w:hAnsi="Times New Roman" w:cs="Times New Roman"/>
        </w:rPr>
        <w:t>pruning mask remained fixed.</w:t>
      </w:r>
    </w:p>
    <w:p w:rsidR="00557438" w:rsidRDefault="00FB6873">
      <w:pPr>
        <w:pStyle w:val="Standard"/>
        <w:numPr>
          <w:ilvl w:val="0"/>
          <w:numId w:val="1"/>
        </w:numPr>
        <w:spacing w:line="480" w:lineRule="auto"/>
        <w:jc w:val="both"/>
      </w:pPr>
      <w:r>
        <w:rPr>
          <w:rFonts w:ascii="Times New Roman" w:eastAsia="Times New Roman" w:hAnsi="Times New Roman" w:cs="Times New Roman"/>
        </w:rPr>
        <w:t>Neurosteroid-like: hidden activations were scaled by 0.5–0.85 (with optional tanh bounding) and the model was trained for eight consolidation epochs. During "off-medication" tests, the scaling factor was removed.</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7" w:name="_gtfwtvwtipx0"/>
      <w:bookmarkEnd w:id="7"/>
      <w:r>
        <w:t>Relapse Simul</w:t>
      </w:r>
      <w:r>
        <w:t>ation</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After treatment, an additional magnitude-based pruning removed 40 % of the remaining weights to imitate renewed synaptic loss and to test durability.</w:t>
      </w:r>
    </w:p>
    <w:p w:rsidR="00557438" w:rsidRDefault="00557438">
      <w:pPr>
        <w:pStyle w:val="Standard"/>
        <w:spacing w:line="480" w:lineRule="auto"/>
        <w:jc w:val="both"/>
        <w:rPr>
          <w:rFonts w:ascii="Times New Roman" w:eastAsia="Times New Roman" w:hAnsi="Times New Roman" w:cs="Times New Roman"/>
          <w:i/>
          <w:iCs/>
          <w:sz w:val="16"/>
          <w:szCs w:val="16"/>
        </w:rPr>
      </w:pPr>
    </w:p>
    <w:p w:rsidR="00557438" w:rsidRDefault="00FB6873">
      <w:pPr>
        <w:pStyle w:val="Standard"/>
        <w:spacing w:line="480" w:lineRule="auto"/>
        <w:jc w:val="center"/>
      </w:pPr>
      <w:r>
        <w:rPr>
          <w:noProof/>
        </w:rPr>
        <w:drawing>
          <wp:inline distT="0" distB="0" distL="0" distR="0">
            <wp:extent cx="5731550" cy="5486400"/>
            <wp:effectExtent l="0" t="0" r="2500" b="0"/>
            <wp:docPr id="2" name="image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5731550" cy="5486400"/>
                    </a:xfrm>
                    <a:prstGeom prst="rect">
                      <a:avLst/>
                    </a:prstGeom>
                    <a:noFill/>
                    <a:ln>
                      <a:noFill/>
                      <a:prstDash/>
                    </a:ln>
                  </pic:spPr>
                </pic:pic>
              </a:graphicData>
            </a:graphic>
          </wp:inline>
        </w:drawing>
      </w:r>
    </w:p>
    <w:p w:rsidR="00557438" w:rsidRDefault="00FB6873">
      <w:pPr>
        <w:pStyle w:val="Standard"/>
        <w:spacing w:line="480" w:lineRule="auto"/>
        <w:jc w:val="both"/>
      </w:pPr>
      <w:r>
        <w:rPr>
          <w:rFonts w:ascii="Times New Roman" w:eastAsia="Times New Roman" w:hAnsi="Times New Roman" w:cs="Times New Roman"/>
          <w:b/>
          <w:bCs/>
          <w:i/>
          <w:iCs/>
          <w:sz w:val="16"/>
          <w:szCs w:val="16"/>
        </w:rPr>
        <w:t xml:space="preserve">Figure 2. </w:t>
      </w:r>
      <w:r>
        <w:rPr>
          <w:rFonts w:ascii="Times New Roman" w:eastAsia="Times New Roman" w:hAnsi="Times New Roman" w:cs="Times New Roman"/>
          <w:i/>
          <w:iCs/>
          <w:sz w:val="16"/>
          <w:szCs w:val="16"/>
        </w:rPr>
        <w:t>Experimental Pipeline. The computational framework proceeds in four phases. Phase 1 es</w:t>
      </w:r>
      <w:r>
        <w:rPr>
          <w:rFonts w:ascii="Times New Roman" w:eastAsia="Times New Roman" w:hAnsi="Times New Roman" w:cs="Times New Roman"/>
          <w:i/>
          <w:iCs/>
          <w:sz w:val="16"/>
          <w:szCs w:val="16"/>
        </w:rPr>
        <w:t>tablishes a healthy CSTC network which is subjected to developmental over-pruning (95% sparsity) to generate the untreated OCD baseline. Phase 2 applies three distinct treatment mechanisms—Ketamine (structural regrowth), SSRI (functional stabilization), an</w:t>
      </w:r>
      <w:r>
        <w:rPr>
          <w:rFonts w:ascii="Times New Roman" w:eastAsia="Times New Roman" w:hAnsi="Times New Roman" w:cs="Times New Roman"/>
          <w:i/>
          <w:iCs/>
          <w:sz w:val="16"/>
          <w:szCs w:val="16"/>
        </w:rPr>
        <w:t>d Neurosteroids (tonic inhibition)—across a sweep of hyperparameters. Phase 3 quantifies the "dose" of each treatment using the L1 norm of weight changes, ensuring a mechanism-agnostic metric, followed by acute and post-relapse behavioral evaluation. Phase</w:t>
      </w:r>
      <w:r>
        <w:rPr>
          <w:rFonts w:ascii="Times New Roman" w:eastAsia="Times New Roman" w:hAnsi="Times New Roman" w:cs="Times New Roman"/>
          <w:i/>
          <w:iCs/>
          <w:sz w:val="16"/>
          <w:szCs w:val="16"/>
        </w:rPr>
        <w:t xml:space="preserve"> 4 aligns treatments by their calculated dose to perform a fair efficiency analysis and trade-off comparison.</w:t>
      </w:r>
    </w:p>
    <w:p w:rsidR="00557438" w:rsidRDefault="00557438">
      <w:pPr>
        <w:pStyle w:val="Heading3"/>
      </w:pPr>
      <w:bookmarkStart w:id="8" w:name="_rcbekmln1v0j"/>
      <w:bookmarkEnd w:id="8"/>
    </w:p>
    <w:p w:rsidR="00557438" w:rsidRDefault="00FB6873">
      <w:pPr>
        <w:pStyle w:val="Heading3"/>
      </w:pPr>
      <w:bookmarkStart w:id="9" w:name="_ceahv0u7bnqz"/>
      <w:bookmarkEnd w:id="9"/>
      <w:r>
        <w:t>OCD-Relevant Evaluation Metrics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Performance on the held-out test set was summarised by (1) overall accuracy, (2) perseverative error rate—errors</w:t>
      </w:r>
      <w:r>
        <w:rPr>
          <w:rFonts w:ascii="Times New Roman" w:eastAsia="Times New Roman" w:hAnsi="Times New Roman" w:cs="Times New Roman"/>
        </w:rPr>
        <w:t xml:space="preserve"> that repeated the prior rule after a switch—(3) flexibility index (post-switch accuracy divided by pre-switch accuracy), (4) repetition rate, and (5) trials-to-recovery. The perseverative error rate was the primary outcome.</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10" w:name="_ju1antgvtlyo"/>
      <w:bookmarkEnd w:id="10"/>
      <w:r>
        <w:t>Iso-Dose Fair Comparison Pipel</w:t>
      </w:r>
      <w:r>
        <w:t>ine</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To compare mechanisms on equal footing, "dose" was defined as the mean L1 change in weights (absolute change divided by parameter count). Additional descriptors—L2 change, fraction of connections altered by at least 10 %, and net sparsity shift—were r</w:t>
      </w:r>
      <w:r>
        <w:rPr>
          <w:rFonts w:ascii="Times New Roman" w:eastAsia="Times New Roman" w:hAnsi="Times New Roman" w:cs="Times New Roman"/>
        </w:rPr>
        <w:t>ecorded. Parameter sweeps produced dose–response curves: regrow fraction 0.1–0.8 for ketamine-like, 20–200 extra epochs for SSRI-like, and inhibition strength 0.5–0.85 for neurosteroid-like. Outcomes at L1 doses of 0.005 and 0.010 were interpolated, and ef</w:t>
      </w:r>
      <w:r>
        <w:rPr>
          <w:rFonts w:ascii="Times New Roman" w:eastAsia="Times New Roman" w:hAnsi="Times New Roman" w:cs="Times New Roman"/>
        </w:rPr>
        <w:t>ficiency was reported as perseveration reduction per unit L1 change. All runs used random seed 42.</w:t>
      </w: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2"/>
      </w:pPr>
      <w:bookmarkStart w:id="11" w:name="_hf7xeq9ji1c2"/>
      <w:bookmarkEnd w:id="11"/>
      <w:r>
        <w:t>Results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12" w:name="_v07qyg9whjgg"/>
      <w:bookmarkEnd w:id="12"/>
      <w:r>
        <w:t>Induction of an OCD-like phenotype through developmental pruning</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The fully connected network learned the rule-switch task to a mean </w:t>
      </w:r>
      <w:r>
        <w:rPr>
          <w:rFonts w:ascii="Times New Roman" w:eastAsia="Times New Roman" w:hAnsi="Times New Roman" w:cs="Times New Roman"/>
        </w:rPr>
        <w:t>accuracy of 0.75 (across random seeds) before any lesions. After magnitude-based pruning removed 95 % of weights—with an extra 20 % bias toward recurrent links—performance collapsed in a way that resembled clinical rigidity. Average accuracy fell to 0.423,</w:t>
      </w:r>
      <w:r>
        <w:rPr>
          <w:rFonts w:ascii="Times New Roman" w:eastAsia="Times New Roman" w:hAnsi="Times New Roman" w:cs="Times New Roman"/>
        </w:rPr>
        <w:t xml:space="preserve"> the perseverative-error rate climbed to 0.731, and the flexibility index dropped to 0.972. In qualitative terms the pruned network repeated the old rule for most of the 20–25 trials that followed each hidden switch, reproducing the stickiness seen in labo</w:t>
      </w:r>
      <w:r>
        <w:rPr>
          <w:rFonts w:ascii="Times New Roman" w:eastAsia="Times New Roman" w:hAnsi="Times New Roman" w:cs="Times New Roman"/>
        </w:rPr>
        <w:t>ratory set-shifting tests with patients.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13" w:name="_l3jok31lkbh2"/>
      <w:bookmarkEnd w:id="13"/>
      <w:r>
        <w:t>Comparison of three treatments at clinically inspired settings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We next applied one representative parameter set per treatment to the same pruned baseline.</w:t>
      </w:r>
    </w:p>
    <w:p w:rsidR="00557438" w:rsidRDefault="00557438">
      <w:pPr>
        <w:pStyle w:val="Standard"/>
        <w:spacing w:line="240" w:lineRule="auto"/>
        <w:jc w:val="both"/>
        <w:rPr>
          <w:rFonts w:ascii="Times New Roman" w:eastAsia="Times New Roman" w:hAnsi="Times New Roman" w:cs="Times New Roman"/>
        </w:rPr>
      </w:pPr>
    </w:p>
    <w:p w:rsidR="00557438" w:rsidRDefault="00FB6873">
      <w:pPr>
        <w:pStyle w:val="Standard"/>
        <w:spacing w:line="240" w:lineRule="auto"/>
        <w:jc w:val="both"/>
      </w:pPr>
      <w:r>
        <w:rPr>
          <w:rFonts w:ascii="Times New Roman" w:eastAsia="Times New Roman" w:hAnsi="Times New Roman" w:cs="Times New Roman"/>
          <w:b/>
          <w:bCs/>
          <w:i/>
          <w:iCs/>
          <w:sz w:val="16"/>
          <w:szCs w:val="16"/>
        </w:rPr>
        <w:t>Table 1</w:t>
      </w:r>
      <w:r>
        <w:rPr>
          <w:rFonts w:ascii="Times New Roman" w:eastAsia="Times New Roman" w:hAnsi="Times New Roman" w:cs="Times New Roman"/>
          <w:i/>
          <w:iCs/>
          <w:sz w:val="16"/>
          <w:szCs w:val="16"/>
        </w:rPr>
        <w:t xml:space="preserve">. Multi-Mechanism Treatment Comparison </w:t>
      </w:r>
      <w:r>
        <w:rPr>
          <w:rFonts w:ascii="Times New Roman" w:eastAsia="Times New Roman" w:hAnsi="Times New Roman" w:cs="Times New Roman"/>
          <w:i/>
          <w:iCs/>
          <w:sz w:val="16"/>
          <w:szCs w:val="16"/>
        </w:rPr>
        <w:t>(Fixed Parameters)</w:t>
      </w:r>
    </w:p>
    <w:tbl>
      <w:tblPr>
        <w:tblW w:w="9015" w:type="dxa"/>
        <w:tblLayout w:type="fixed"/>
        <w:tblCellMar>
          <w:left w:w="10" w:type="dxa"/>
          <w:right w:w="10" w:type="dxa"/>
        </w:tblCellMar>
        <w:tblLook w:val="0000" w:firstRow="0" w:lastRow="0" w:firstColumn="0" w:lastColumn="0" w:noHBand="0" w:noVBand="0"/>
      </w:tblPr>
      <w:tblGrid>
        <w:gridCol w:w="990"/>
        <w:gridCol w:w="1004"/>
        <w:gridCol w:w="1003"/>
        <w:gridCol w:w="1003"/>
        <w:gridCol w:w="1004"/>
        <w:gridCol w:w="1003"/>
        <w:gridCol w:w="1005"/>
        <w:gridCol w:w="1002"/>
        <w:gridCol w:w="1001"/>
      </w:tblGrid>
      <w:tr w:rsidR="00557438">
        <w:tblPrEx>
          <w:tblCellMar>
            <w:top w:w="0" w:type="dxa"/>
            <w:bottom w:w="0" w:type="dxa"/>
          </w:tblCellMar>
        </w:tblPrEx>
        <w:trPr>
          <w:trHeight w:val="510"/>
        </w:trPr>
        <w:tc>
          <w:tcPr>
            <w:tcW w:w="989"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Treatment</w:t>
            </w:r>
          </w:p>
        </w:tc>
        <w:tc>
          <w:tcPr>
            <w:tcW w:w="1004"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L1 Dose</w:t>
            </w:r>
          </w:p>
        </w:tc>
        <w:tc>
          <w:tcPr>
            <w:tcW w:w="1003"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Turnover</w:t>
            </w:r>
          </w:p>
        </w:tc>
        <w:tc>
          <w:tcPr>
            <w:tcW w:w="1003"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Δ Sparsity</w:t>
            </w:r>
          </w:p>
        </w:tc>
        <w:tc>
          <w:tcPr>
            <w:tcW w:w="1004"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Acute Accuracy (Δ)</w:t>
            </w:r>
          </w:p>
        </w:tc>
        <w:tc>
          <w:tcPr>
            <w:tcW w:w="1003"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Acute Perseveration (Δ)</w:t>
            </w:r>
          </w:p>
        </w:tc>
        <w:tc>
          <w:tcPr>
            <w:tcW w:w="1005"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Acute Flexibility (Δ)</w:t>
            </w:r>
          </w:p>
        </w:tc>
        <w:tc>
          <w:tcPr>
            <w:tcW w:w="1002"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Efficiency</w:t>
            </w:r>
          </w:p>
        </w:tc>
        <w:tc>
          <w:tcPr>
            <w:tcW w:w="1001"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Relapse Δ Perseveration</w:t>
            </w:r>
          </w:p>
        </w:tc>
      </w:tr>
      <w:tr w:rsidR="00557438">
        <w:tblPrEx>
          <w:tblCellMar>
            <w:top w:w="0" w:type="dxa"/>
            <w:bottom w:w="0" w:type="dxa"/>
          </w:tblCellMar>
        </w:tblPrEx>
        <w:trPr>
          <w:trHeight w:val="510"/>
        </w:trPr>
        <w:tc>
          <w:tcPr>
            <w:tcW w:w="989"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Untreated</w:t>
            </w:r>
          </w:p>
        </w:tc>
        <w:tc>
          <w:tcPr>
            <w:tcW w:w="100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w:t>
            </w:r>
          </w:p>
        </w:tc>
        <w:tc>
          <w:tcPr>
            <w:tcW w:w="1003"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w:t>
            </w:r>
          </w:p>
        </w:tc>
        <w:tc>
          <w:tcPr>
            <w:tcW w:w="1003"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w:t>
            </w:r>
          </w:p>
        </w:tc>
        <w:tc>
          <w:tcPr>
            <w:tcW w:w="100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0.4230</w:t>
            </w:r>
          </w:p>
        </w:tc>
        <w:tc>
          <w:tcPr>
            <w:tcW w:w="1003"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0.7314</w:t>
            </w:r>
          </w:p>
        </w:tc>
        <w:tc>
          <w:tcPr>
            <w:tcW w:w="1005"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0.9724</w:t>
            </w:r>
          </w:p>
        </w:tc>
        <w:tc>
          <w:tcPr>
            <w:tcW w:w="1002"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w:t>
            </w:r>
          </w:p>
        </w:tc>
        <w:tc>
          <w:tcPr>
            <w:tcW w:w="1001"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w:t>
            </w:r>
          </w:p>
        </w:tc>
      </w:tr>
      <w:tr w:rsidR="00557438">
        <w:tblPrEx>
          <w:tblCellMar>
            <w:top w:w="0" w:type="dxa"/>
            <w:bottom w:w="0" w:type="dxa"/>
          </w:tblCellMar>
        </w:tblPrEx>
        <w:trPr>
          <w:trHeight w:val="510"/>
        </w:trPr>
        <w:tc>
          <w:tcPr>
            <w:tcW w:w="989"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Ketamine</w:t>
            </w:r>
          </w:p>
        </w:tc>
        <w:tc>
          <w:tcPr>
            <w:tcW w:w="100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0.010953</w:t>
            </w:r>
          </w:p>
        </w:tc>
        <w:tc>
          <w:tcPr>
            <w:tcW w:w="1003"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0.5868</w:t>
            </w:r>
          </w:p>
        </w:tc>
        <w:tc>
          <w:tcPr>
            <w:tcW w:w="1003"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0.5678</w:t>
            </w:r>
          </w:p>
        </w:tc>
        <w:tc>
          <w:tcPr>
            <w:tcW w:w="100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 xml:space="preserve">0.7508 </w:t>
            </w:r>
            <w:r>
              <w:rPr>
                <w:rFonts w:ascii="Times New Roman" w:eastAsia="Times New Roman" w:hAnsi="Times New Roman" w:cs="Times New Roman"/>
                <w:sz w:val="16"/>
                <w:szCs w:val="16"/>
              </w:rPr>
              <w:t>(+0.3278)</w:t>
            </w:r>
          </w:p>
        </w:tc>
        <w:tc>
          <w:tcPr>
            <w:tcW w:w="1003"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0.2329 (-0.4985)</w:t>
            </w:r>
          </w:p>
        </w:tc>
        <w:tc>
          <w:tcPr>
            <w:tcW w:w="1005"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0.9835 (+0.0111)</w:t>
            </w:r>
          </w:p>
        </w:tc>
        <w:tc>
          <w:tcPr>
            <w:tcW w:w="1002"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45.51</w:t>
            </w:r>
          </w:p>
        </w:tc>
        <w:tc>
          <w:tcPr>
            <w:tcW w:w="1001"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+0.0874</w:t>
            </w:r>
          </w:p>
        </w:tc>
      </w:tr>
      <w:tr w:rsidR="00557438">
        <w:tblPrEx>
          <w:tblCellMar>
            <w:top w:w="0" w:type="dxa"/>
            <w:bottom w:w="0" w:type="dxa"/>
          </w:tblCellMar>
        </w:tblPrEx>
        <w:trPr>
          <w:trHeight w:val="510"/>
        </w:trPr>
        <w:tc>
          <w:tcPr>
            <w:tcW w:w="989"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SSRI</w:t>
            </w:r>
          </w:p>
        </w:tc>
        <w:tc>
          <w:tcPr>
            <w:tcW w:w="100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0.000688</w:t>
            </w:r>
          </w:p>
        </w:tc>
        <w:tc>
          <w:tcPr>
            <w:tcW w:w="1003"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0.0011</w:t>
            </w:r>
          </w:p>
        </w:tc>
        <w:tc>
          <w:tcPr>
            <w:tcW w:w="1003"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0.0000</w:t>
            </w:r>
          </w:p>
        </w:tc>
        <w:tc>
          <w:tcPr>
            <w:tcW w:w="100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0.5322 (+0.1091)</w:t>
            </w:r>
          </w:p>
        </w:tc>
        <w:tc>
          <w:tcPr>
            <w:tcW w:w="1003"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0.6871 (-0.0443)</w:t>
            </w:r>
          </w:p>
        </w:tc>
        <w:tc>
          <w:tcPr>
            <w:tcW w:w="1005"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0.9994 (+0.0270)</w:t>
            </w:r>
          </w:p>
        </w:tc>
        <w:tc>
          <w:tcPr>
            <w:tcW w:w="1002"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64.35</w:t>
            </w:r>
          </w:p>
        </w:tc>
        <w:tc>
          <w:tcPr>
            <w:tcW w:w="1001"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+0.1612</w:t>
            </w:r>
          </w:p>
        </w:tc>
      </w:tr>
      <w:tr w:rsidR="00557438">
        <w:tblPrEx>
          <w:tblCellMar>
            <w:top w:w="0" w:type="dxa"/>
            <w:bottom w:w="0" w:type="dxa"/>
          </w:tblCellMar>
        </w:tblPrEx>
        <w:trPr>
          <w:trHeight w:val="510"/>
        </w:trPr>
        <w:tc>
          <w:tcPr>
            <w:tcW w:w="989"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Neurosteroid</w:t>
            </w:r>
          </w:p>
        </w:tc>
        <w:tc>
          <w:tcPr>
            <w:tcW w:w="1004"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0.002128</w:t>
            </w:r>
          </w:p>
        </w:tc>
        <w:tc>
          <w:tcPr>
            <w:tcW w:w="1003"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0.0355</w:t>
            </w:r>
          </w:p>
        </w:tc>
        <w:tc>
          <w:tcPr>
            <w:tcW w:w="1003"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0.0000</w:t>
            </w:r>
          </w:p>
        </w:tc>
        <w:tc>
          <w:tcPr>
            <w:tcW w:w="1004"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0.5896 (+0.1666)</w:t>
            </w:r>
          </w:p>
        </w:tc>
        <w:tc>
          <w:tcPr>
            <w:tcW w:w="1003"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0.6422 (-0.0892)</w:t>
            </w:r>
          </w:p>
        </w:tc>
        <w:tc>
          <w:tcPr>
            <w:tcW w:w="1005"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0.9945 (+0.0221)</w:t>
            </w:r>
          </w:p>
        </w:tc>
        <w:tc>
          <w:tcPr>
            <w:tcW w:w="1002"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41.91</w:t>
            </w:r>
          </w:p>
        </w:tc>
        <w:tc>
          <w:tcPr>
            <w:tcW w:w="1001"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+0.1686</w:t>
            </w:r>
          </w:p>
        </w:tc>
      </w:tr>
    </w:tbl>
    <w:p w:rsidR="00557438" w:rsidRDefault="00FB6873">
      <w:pPr>
        <w:pStyle w:val="Standard"/>
        <w:spacing w:before="80" w:line="240" w:lineRule="auto"/>
        <w:jc w:val="both"/>
      </w:pPr>
      <w:r>
        <w:rPr>
          <w:rFonts w:ascii="Times New Roman" w:eastAsia="Times New Roman" w:hAnsi="Times New Roman" w:cs="Times New Roman"/>
          <w:i/>
          <w:iCs/>
          <w:sz w:val="16"/>
          <w:szCs w:val="16"/>
        </w:rPr>
        <w:t>Note. Δ values relative to untreated baseline. Efficiency = perseveration reduction / L1 dose.</w:t>
      </w:r>
    </w:p>
    <w:p w:rsidR="00557438" w:rsidRDefault="00557438">
      <w:pPr>
        <w:pStyle w:val="Standard"/>
        <w:spacing w:line="24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Ketamine-like rapid regrowth restored 60 % of the previously deleted weights and lowered overall sparsity from 95 % to 38 %. Synaptic </w:t>
      </w:r>
      <w:r>
        <w:rPr>
          <w:rFonts w:ascii="Times New Roman" w:eastAsia="Times New Roman" w:hAnsi="Times New Roman" w:cs="Times New Roman"/>
        </w:rPr>
        <w:t>turnover—defined as the proportion of parameters changed by more than 10 %—reached 0.587. Accuracy jumped to 0.751 and perseverative errors dropped to 0.233; the resulting efficiency, calculated as the error reduction divided by the L1 dose (0.011), was 45</w:t>
      </w:r>
      <w:r>
        <w:rPr>
          <w:rFonts w:ascii="Times New Roman" w:eastAsia="Times New Roman" w:hAnsi="Times New Roman" w:cs="Times New Roman"/>
        </w:rPr>
        <w:t>.5. When a secondary pruning step removed 40 % of the surviving weights, perseveration increased only modestly to 0.320, suggesting durable benefit.</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SSRI-like slow adaptation kept the structure frozen (turnover 0.001, sparsity still 95 %) and simply train</w:t>
      </w:r>
      <w:r>
        <w:rPr>
          <w:rFonts w:ascii="Times New Roman" w:eastAsia="Times New Roman" w:hAnsi="Times New Roman" w:cs="Times New Roman"/>
        </w:rPr>
        <w:t>ed for 120 low-rate epochs while stress noise was annealed. Improvements were modest: accuracy 0.532, perseveration 0.687, flexibility 0.999. Because the L1 change was tiny (0.0007), efficiency was numerically high (64.3) but the absolute gain was small. A</w:t>
      </w:r>
      <w:r>
        <w:rPr>
          <w:rFonts w:ascii="Times New Roman" w:eastAsia="Times New Roman" w:hAnsi="Times New Roman" w:cs="Times New Roman"/>
        </w:rPr>
        <w:t>fter the relapse simulation, perseveration shot up to 0.848, erasing most of the benefit.</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Neurosteroid-like tonic inhibition scaled hidden activations by 0.65, again leaving connectivity intact (turnover 0.036). Accuracy rose to 0.590 and perseveration fe</w:t>
      </w:r>
      <w:r>
        <w:rPr>
          <w:rFonts w:ascii="Times New Roman" w:eastAsia="Times New Roman" w:hAnsi="Times New Roman" w:cs="Times New Roman"/>
        </w:rPr>
        <w:t>ll to 0.642. Removing the inhibition ("off-medication") almost reversed the effect (perseveration 0.626). Following relapse pruning, perseveration climbed further to 0.811, the largest rebound of the three.</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14" w:name="_qofujji0lkfl"/>
      <w:bookmarkEnd w:id="14"/>
      <w:r>
        <w:t>Dose-matched comparison across mechanisms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To ru</w:t>
      </w:r>
      <w:r>
        <w:rPr>
          <w:rFonts w:ascii="Times New Roman" w:eastAsia="Times New Roman" w:hAnsi="Times New Roman" w:cs="Times New Roman"/>
        </w:rPr>
        <w:t>le out dosing artefacts we swept each intervention across a broad parameter range and expressed dose as the mean absolute weight change (L1 norm). Two landmarks—approximately 0.005 and 0.010 L1 units—were matched across treatments.</w:t>
      </w:r>
    </w:p>
    <w:p w:rsidR="00557438" w:rsidRDefault="00557438">
      <w:pPr>
        <w:pStyle w:val="Standard"/>
        <w:spacing w:line="240" w:lineRule="auto"/>
        <w:jc w:val="both"/>
        <w:rPr>
          <w:rFonts w:ascii="Times New Roman" w:eastAsia="Times New Roman" w:hAnsi="Times New Roman" w:cs="Times New Roman"/>
        </w:rPr>
      </w:pPr>
    </w:p>
    <w:p w:rsidR="00557438" w:rsidRDefault="00FB6873">
      <w:pPr>
        <w:pStyle w:val="Standard"/>
        <w:spacing w:line="240" w:lineRule="auto"/>
        <w:jc w:val="both"/>
      </w:pPr>
      <w:r>
        <w:rPr>
          <w:rFonts w:ascii="Times New Roman" w:eastAsia="Times New Roman" w:hAnsi="Times New Roman" w:cs="Times New Roman"/>
          <w:b/>
          <w:bCs/>
          <w:i/>
          <w:iCs/>
          <w:sz w:val="16"/>
          <w:szCs w:val="16"/>
        </w:rPr>
        <w:t>Table 2</w:t>
      </w:r>
      <w:r>
        <w:rPr>
          <w:rFonts w:ascii="Times New Roman" w:eastAsia="Times New Roman" w:hAnsi="Times New Roman" w:cs="Times New Roman"/>
          <w:i/>
          <w:iCs/>
          <w:sz w:val="16"/>
          <w:szCs w:val="16"/>
        </w:rPr>
        <w:t xml:space="preserve">. </w:t>
      </w:r>
      <w:r>
        <w:rPr>
          <w:rFonts w:ascii="Times New Roman" w:eastAsia="Times New Roman" w:hAnsi="Times New Roman" w:cs="Times New Roman"/>
          <w:i/>
          <w:iCs/>
          <w:sz w:val="16"/>
          <w:szCs w:val="16"/>
        </w:rPr>
        <w:t>Iso-Dose Matched Outcomes</w:t>
      </w:r>
    </w:p>
    <w:tbl>
      <w:tblPr>
        <w:tblW w:w="9025" w:type="dxa"/>
        <w:tblLayout w:type="fixed"/>
        <w:tblCellMar>
          <w:left w:w="10" w:type="dxa"/>
          <w:right w:w="10" w:type="dxa"/>
        </w:tblCellMar>
        <w:tblLook w:val="0000" w:firstRow="0" w:lastRow="0" w:firstColumn="0" w:lastColumn="0" w:noHBand="0" w:noVBand="0"/>
      </w:tblPr>
      <w:tblGrid>
        <w:gridCol w:w="1319"/>
        <w:gridCol w:w="1902"/>
        <w:gridCol w:w="1574"/>
        <w:gridCol w:w="1974"/>
        <w:gridCol w:w="1121"/>
        <w:gridCol w:w="1135"/>
      </w:tblGrid>
      <w:tr w:rsidR="00557438">
        <w:tblPrEx>
          <w:tblCellMar>
            <w:top w:w="0" w:type="dxa"/>
            <w:bottom w:w="0" w:type="dxa"/>
          </w:tblCellMar>
        </w:tblPrEx>
        <w:trPr>
          <w:trHeight w:val="283"/>
        </w:trPr>
        <w:tc>
          <w:tcPr>
            <w:tcW w:w="9024" w:type="dxa"/>
            <w:gridSpan w:val="6"/>
            <w:tcBorders>
              <w:top w:val="single" w:sz="12" w:space="0" w:color="000000"/>
              <w:bottom w:val="single" w:sz="4" w:space="0" w:color="000000"/>
            </w:tcBorders>
            <w:shd w:val="clear" w:color="auto" w:fill="F9F9F9"/>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Target Dose ~0.005</w:t>
            </w:r>
          </w:p>
        </w:tc>
      </w:tr>
      <w:tr w:rsidR="00557438">
        <w:tblPrEx>
          <w:tblCellMar>
            <w:top w:w="0" w:type="dxa"/>
            <w:bottom w:w="0" w:type="dxa"/>
          </w:tblCellMar>
        </w:tblPrEx>
        <w:trPr>
          <w:trHeight w:val="283"/>
        </w:trPr>
        <w:tc>
          <w:tcPr>
            <w:tcW w:w="1318"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Treatment</w:t>
            </w:r>
          </w:p>
        </w:tc>
        <w:tc>
          <w:tcPr>
            <w:tcW w:w="1902"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Parameter</w:t>
            </w:r>
          </w:p>
        </w:tc>
        <w:tc>
          <w:tcPr>
            <w:tcW w:w="1574"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Actual L1 Dose</w:t>
            </w:r>
          </w:p>
        </w:tc>
        <w:tc>
          <w:tcPr>
            <w:tcW w:w="1974"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Acute Perseveration</w:t>
            </w:r>
          </w:p>
        </w:tc>
        <w:tc>
          <w:tcPr>
            <w:tcW w:w="1121"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Relapse Δ</w:t>
            </w:r>
          </w:p>
        </w:tc>
        <w:tc>
          <w:tcPr>
            <w:tcW w:w="1135"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Efficiency</w:t>
            </w:r>
          </w:p>
        </w:tc>
      </w:tr>
      <w:tr w:rsidR="00557438">
        <w:tblPrEx>
          <w:tblCellMar>
            <w:top w:w="0" w:type="dxa"/>
            <w:bottom w:w="0" w:type="dxa"/>
          </w:tblCellMar>
        </w:tblPrEx>
        <w:trPr>
          <w:trHeight w:val="283"/>
        </w:trPr>
        <w:tc>
          <w:tcPr>
            <w:tcW w:w="1318"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Ketamine</w:t>
            </w:r>
          </w:p>
        </w:tc>
        <w:tc>
          <w:tcPr>
            <w:tcW w:w="1902"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regrow_fraction=0.1</w:t>
            </w:r>
          </w:p>
        </w:tc>
        <w:tc>
          <w:tcPr>
            <w:tcW w:w="157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0.004506</w:t>
            </w:r>
          </w:p>
        </w:tc>
        <w:tc>
          <w:tcPr>
            <w:tcW w:w="197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0.2627</w:t>
            </w:r>
          </w:p>
        </w:tc>
        <w:tc>
          <w:tcPr>
            <w:tcW w:w="1121"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+0.0508</w:t>
            </w:r>
          </w:p>
        </w:tc>
        <w:tc>
          <w:tcPr>
            <w:tcW w:w="1135"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104.01</w:t>
            </w:r>
          </w:p>
        </w:tc>
      </w:tr>
      <w:tr w:rsidR="00557438">
        <w:tblPrEx>
          <w:tblCellMar>
            <w:top w:w="0" w:type="dxa"/>
            <w:bottom w:w="0" w:type="dxa"/>
          </w:tblCellMar>
        </w:tblPrEx>
        <w:trPr>
          <w:trHeight w:val="283"/>
        </w:trPr>
        <w:tc>
          <w:tcPr>
            <w:tcW w:w="1318"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SSRI</w:t>
            </w:r>
          </w:p>
        </w:tc>
        <w:tc>
          <w:tcPr>
            <w:tcW w:w="1902"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epochs=200</w:t>
            </w:r>
          </w:p>
        </w:tc>
        <w:tc>
          <w:tcPr>
            <w:tcW w:w="157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0.000944</w:t>
            </w:r>
          </w:p>
        </w:tc>
        <w:tc>
          <w:tcPr>
            <w:tcW w:w="197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0.6619</w:t>
            </w:r>
          </w:p>
        </w:tc>
        <w:tc>
          <w:tcPr>
            <w:tcW w:w="1121"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+0.1662</w:t>
            </w:r>
          </w:p>
        </w:tc>
        <w:tc>
          <w:tcPr>
            <w:tcW w:w="1135"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73.68</w:t>
            </w:r>
          </w:p>
        </w:tc>
      </w:tr>
      <w:tr w:rsidR="00557438">
        <w:tblPrEx>
          <w:tblCellMar>
            <w:top w:w="0" w:type="dxa"/>
            <w:bottom w:w="0" w:type="dxa"/>
          </w:tblCellMar>
        </w:tblPrEx>
        <w:trPr>
          <w:trHeight w:val="283"/>
        </w:trPr>
        <w:tc>
          <w:tcPr>
            <w:tcW w:w="1318"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Neurosteroid</w:t>
            </w:r>
          </w:p>
        </w:tc>
        <w:tc>
          <w:tcPr>
            <w:tcW w:w="1902"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strength=0.5</w:t>
            </w:r>
          </w:p>
        </w:tc>
        <w:tc>
          <w:tcPr>
            <w:tcW w:w="1574"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0.002474</w:t>
            </w:r>
          </w:p>
        </w:tc>
        <w:tc>
          <w:tcPr>
            <w:tcW w:w="1974"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0.6563</w:t>
            </w:r>
          </w:p>
        </w:tc>
        <w:tc>
          <w:tcPr>
            <w:tcW w:w="1121"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+0.1492</w:t>
            </w:r>
          </w:p>
        </w:tc>
        <w:tc>
          <w:tcPr>
            <w:tcW w:w="1135"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30.35</w:t>
            </w:r>
          </w:p>
        </w:tc>
      </w:tr>
      <w:tr w:rsidR="00557438">
        <w:tblPrEx>
          <w:tblCellMar>
            <w:top w:w="0" w:type="dxa"/>
            <w:bottom w:w="0" w:type="dxa"/>
          </w:tblCellMar>
        </w:tblPrEx>
        <w:trPr>
          <w:trHeight w:val="283"/>
        </w:trPr>
        <w:tc>
          <w:tcPr>
            <w:tcW w:w="9024" w:type="dxa"/>
            <w:gridSpan w:val="6"/>
            <w:tcBorders>
              <w:top w:val="single" w:sz="12" w:space="0" w:color="000000"/>
              <w:bottom w:val="single" w:sz="4" w:space="0" w:color="000000"/>
            </w:tcBorders>
            <w:shd w:val="clear" w:color="auto" w:fill="F9F9F9"/>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Target Dose ~0.010</w:t>
            </w:r>
          </w:p>
        </w:tc>
      </w:tr>
      <w:tr w:rsidR="00557438">
        <w:tblPrEx>
          <w:tblCellMar>
            <w:top w:w="0" w:type="dxa"/>
            <w:bottom w:w="0" w:type="dxa"/>
          </w:tblCellMar>
        </w:tblPrEx>
        <w:trPr>
          <w:trHeight w:val="283"/>
        </w:trPr>
        <w:tc>
          <w:tcPr>
            <w:tcW w:w="1318"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Treatment</w:t>
            </w:r>
          </w:p>
        </w:tc>
        <w:tc>
          <w:tcPr>
            <w:tcW w:w="1902"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Parameter</w:t>
            </w:r>
          </w:p>
        </w:tc>
        <w:tc>
          <w:tcPr>
            <w:tcW w:w="1574"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Actual L1 Dose</w:t>
            </w:r>
          </w:p>
        </w:tc>
        <w:tc>
          <w:tcPr>
            <w:tcW w:w="1974"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Acute Perseveration</w:t>
            </w:r>
          </w:p>
        </w:tc>
        <w:tc>
          <w:tcPr>
            <w:tcW w:w="1121"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Relapse Δ</w:t>
            </w:r>
          </w:p>
        </w:tc>
        <w:tc>
          <w:tcPr>
            <w:tcW w:w="1135" w:type="dxa"/>
            <w:tcBorders>
              <w:top w:val="single" w:sz="12" w:space="0" w:color="000000"/>
              <w:bottom w:val="single" w:sz="12" w:space="0" w:color="000000"/>
            </w:tcBorders>
            <w:tcMar>
              <w:top w:w="0" w:type="dxa"/>
              <w:left w:w="0" w:type="dxa"/>
              <w:bottom w:w="0" w:type="dxa"/>
              <w:right w:w="0" w:type="dxa"/>
            </w:tcMar>
            <w:vAlign w:val="bottom"/>
          </w:tcPr>
          <w:p w:rsidR="00557438" w:rsidRDefault="00FB6873">
            <w:pPr>
              <w:pStyle w:val="Standard"/>
              <w:spacing w:after="160" w:line="240" w:lineRule="auto"/>
            </w:pPr>
            <w:r>
              <w:rPr>
                <w:rFonts w:ascii="Times New Roman" w:eastAsia="Times New Roman" w:hAnsi="Times New Roman" w:cs="Times New Roman"/>
                <w:b/>
                <w:bCs/>
                <w:sz w:val="16"/>
                <w:szCs w:val="16"/>
              </w:rPr>
              <w:t>Efficiency</w:t>
            </w:r>
          </w:p>
        </w:tc>
      </w:tr>
      <w:tr w:rsidR="00557438">
        <w:tblPrEx>
          <w:tblCellMar>
            <w:top w:w="0" w:type="dxa"/>
            <w:bottom w:w="0" w:type="dxa"/>
          </w:tblCellMar>
        </w:tblPrEx>
        <w:trPr>
          <w:trHeight w:val="283"/>
        </w:trPr>
        <w:tc>
          <w:tcPr>
            <w:tcW w:w="1318"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Ketamine</w:t>
            </w:r>
          </w:p>
        </w:tc>
        <w:tc>
          <w:tcPr>
            <w:tcW w:w="1902"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regrow_fraction=0.5</w:t>
            </w:r>
          </w:p>
        </w:tc>
        <w:tc>
          <w:tcPr>
            <w:tcW w:w="157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0.009600</w:t>
            </w:r>
          </w:p>
        </w:tc>
        <w:tc>
          <w:tcPr>
            <w:tcW w:w="197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0.2333</w:t>
            </w:r>
          </w:p>
        </w:tc>
        <w:tc>
          <w:tcPr>
            <w:tcW w:w="1121"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+0.0983</w:t>
            </w:r>
          </w:p>
        </w:tc>
        <w:tc>
          <w:tcPr>
            <w:tcW w:w="1135"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51.88</w:t>
            </w:r>
          </w:p>
        </w:tc>
      </w:tr>
      <w:tr w:rsidR="00557438">
        <w:tblPrEx>
          <w:tblCellMar>
            <w:top w:w="0" w:type="dxa"/>
            <w:bottom w:w="0" w:type="dxa"/>
          </w:tblCellMar>
        </w:tblPrEx>
        <w:trPr>
          <w:trHeight w:val="283"/>
        </w:trPr>
        <w:tc>
          <w:tcPr>
            <w:tcW w:w="1318"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SSRI</w:t>
            </w:r>
          </w:p>
        </w:tc>
        <w:tc>
          <w:tcPr>
            <w:tcW w:w="1902"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epochs=200</w:t>
            </w:r>
          </w:p>
        </w:tc>
        <w:tc>
          <w:tcPr>
            <w:tcW w:w="157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0.000944</w:t>
            </w:r>
          </w:p>
        </w:tc>
        <w:tc>
          <w:tcPr>
            <w:tcW w:w="1974"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0.6619</w:t>
            </w:r>
          </w:p>
        </w:tc>
        <w:tc>
          <w:tcPr>
            <w:tcW w:w="1121"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+0.1662</w:t>
            </w:r>
          </w:p>
        </w:tc>
        <w:tc>
          <w:tcPr>
            <w:tcW w:w="1135" w:type="dxa"/>
            <w:tcBorders>
              <w:bottom w:val="single" w:sz="4" w:space="0" w:color="DDDDDD"/>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73.68</w:t>
            </w:r>
          </w:p>
        </w:tc>
      </w:tr>
      <w:tr w:rsidR="00557438">
        <w:tblPrEx>
          <w:tblCellMar>
            <w:top w:w="0" w:type="dxa"/>
            <w:bottom w:w="0" w:type="dxa"/>
          </w:tblCellMar>
        </w:tblPrEx>
        <w:trPr>
          <w:trHeight w:val="283"/>
        </w:trPr>
        <w:tc>
          <w:tcPr>
            <w:tcW w:w="1318"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Neurosteroid</w:t>
            </w:r>
          </w:p>
        </w:tc>
        <w:tc>
          <w:tcPr>
            <w:tcW w:w="1902"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strength=0.5</w:t>
            </w:r>
          </w:p>
        </w:tc>
        <w:tc>
          <w:tcPr>
            <w:tcW w:w="1574"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0.002474</w:t>
            </w:r>
          </w:p>
        </w:tc>
        <w:tc>
          <w:tcPr>
            <w:tcW w:w="1974"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0.6563</w:t>
            </w:r>
          </w:p>
        </w:tc>
        <w:tc>
          <w:tcPr>
            <w:tcW w:w="1121"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+0.1492</w:t>
            </w:r>
          </w:p>
        </w:tc>
        <w:tc>
          <w:tcPr>
            <w:tcW w:w="1135" w:type="dxa"/>
            <w:tcBorders>
              <w:bottom w:val="single" w:sz="12" w:space="0" w:color="000000"/>
            </w:tcBorders>
            <w:tcMar>
              <w:top w:w="0" w:type="dxa"/>
              <w:left w:w="0" w:type="dxa"/>
              <w:bottom w:w="0" w:type="dxa"/>
              <w:right w:w="0" w:type="dxa"/>
            </w:tcMar>
          </w:tcPr>
          <w:p w:rsidR="00557438" w:rsidRDefault="00FB6873">
            <w:pPr>
              <w:pStyle w:val="Standard"/>
              <w:spacing w:after="160" w:line="240" w:lineRule="auto"/>
              <w:jc w:val="both"/>
            </w:pPr>
            <w:r>
              <w:rPr>
                <w:rFonts w:ascii="Times New Roman" w:eastAsia="Times New Roman" w:hAnsi="Times New Roman" w:cs="Times New Roman"/>
                <w:sz w:val="16"/>
                <w:szCs w:val="16"/>
              </w:rPr>
              <w:t>30.35</w:t>
            </w:r>
          </w:p>
        </w:tc>
      </w:tr>
    </w:tbl>
    <w:p w:rsidR="00557438" w:rsidRDefault="00557438">
      <w:pPr>
        <w:pStyle w:val="Standard"/>
        <w:spacing w:line="24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At the lower dose (~0.005), a 10 % ketamine-style regrowth produced perseveration 0.263 and relapse rebound 0.051. The best-matched SSRI schedule (200 extra epochs) left perseveration at 0.662 </w:t>
      </w:r>
      <w:r>
        <w:rPr>
          <w:rFonts w:ascii="Times New Roman" w:eastAsia="Times New Roman" w:hAnsi="Times New Roman" w:cs="Times New Roman"/>
        </w:rPr>
        <w:t>with a rebound of 0.166, while the gentlest neurosteroid setting (gain 0.50) yielded 0.656 with a rebound of 0.149. Ketamine therefore reduced perseveration by roughly 46 % of its baseline value, compared with 10 % for the other two mechanisms, at the same</w:t>
      </w:r>
      <w:r>
        <w:rPr>
          <w:rFonts w:ascii="Times New Roman" w:eastAsia="Times New Roman" w:hAnsi="Times New Roman" w:cs="Times New Roman"/>
        </w:rPr>
        <w:t xml:space="preserve"> structural cost.</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At the higher dose (~0.010) a 50 % regrowth delivered perseveration 0.233 (rebound 0.098) versus 0.662 for the SSRI and 0.656 for the neurosteroid. Efficiency—error reduction per unit L1 dose—peaked at 104 for low-dose ketamine, 74 for t</w:t>
      </w:r>
      <w:r>
        <w:rPr>
          <w:rFonts w:ascii="Times New Roman" w:eastAsia="Times New Roman" w:hAnsi="Times New Roman" w:cs="Times New Roman"/>
        </w:rPr>
        <w:t>he most effective SSRI setting, and 56 for the best neurosteroid setting.</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Across the entire sweep ketamine-style structural repair consistently produced the lowest acute perseverative errors (minimum 0.233) and the smallest relapse rebounds, whereas SSRI-</w:t>
      </w:r>
      <w:r>
        <w:rPr>
          <w:rFonts w:ascii="Times New Roman" w:eastAsia="Times New Roman" w:hAnsi="Times New Roman" w:cs="Times New Roman"/>
        </w:rPr>
        <w:t>style functional tuning required very low doses to look efficient and neurosteroid inhibition showed the steepest loss of benefit when the medication was withdrawn.</w:t>
      </w: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2"/>
      </w:pPr>
      <w:bookmarkStart w:id="15" w:name="_zanntx2t9rjp"/>
      <w:bookmarkEnd w:id="15"/>
      <w:r>
        <w:t>Discussion</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16" w:name="_ycmbyq7yyrlu"/>
      <w:bookmarkEnd w:id="16"/>
      <w:r>
        <w:t>Interpretation of the computational findings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Our simulations strengthen the </w:t>
      </w:r>
      <w:r>
        <w:rPr>
          <w:rFonts w:ascii="Times New Roman" w:eastAsia="Times New Roman" w:hAnsi="Times New Roman" w:cs="Times New Roman"/>
        </w:rPr>
        <w:t>idea that obsessive-compulsive disorder arises, at least in part, from excessive synaptic pruning during development. When the model was stripped of 95 % of its connections, it behaved like a patient who cannot abandon an old rule. Among the three interven</w:t>
      </w:r>
      <w:r>
        <w:rPr>
          <w:rFonts w:ascii="Times New Roman" w:eastAsia="Times New Roman" w:hAnsi="Times New Roman" w:cs="Times New Roman"/>
        </w:rPr>
        <w:t>tions, only the ketamine-like manipulation—implemented as rapid, gradient-guided regrowth—rebuilt the lost structure and, in doing so, sharply reduced perseverative errors. That edge remained after we equalised "dose" across treatments with the L1 weight-c</w:t>
      </w:r>
      <w:r>
        <w:rPr>
          <w:rFonts w:ascii="Times New Roman" w:eastAsia="Times New Roman" w:hAnsi="Times New Roman" w:cs="Times New Roman"/>
        </w:rPr>
        <w:t>hange metric, implying that replacing missing synapses is intrinsically more powerful than simply tuning the activity of a damaged circuit.</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The SSRI-like schedule led to smaller, less durable gains. In the model, no new synapses appeared; noise was merely</w:t>
      </w:r>
      <w:r>
        <w:rPr>
          <w:rFonts w:ascii="Times New Roman" w:eastAsia="Times New Roman" w:hAnsi="Times New Roman" w:cs="Times New Roman"/>
        </w:rPr>
        <w:t xml:space="preserve"> tapered while weights drifted slowly. This mirrors clinical experience: selective serotonin re-uptake inhibitors help many people, but relapse rates climb when the drug is withdrawn [11]. The neurosteroid-like inhibition produced modest, quickly reversibl</w:t>
      </w:r>
      <w:r>
        <w:rPr>
          <w:rFonts w:ascii="Times New Roman" w:eastAsia="Times New Roman" w:hAnsi="Times New Roman" w:cs="Times New Roman"/>
        </w:rPr>
        <w:t>e benefits, again matching early stage data that point to symptom relief rather than disease modification [12].</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Ketamine's advantage in the model parallels clinical reports. A single intravenous infusion can cut obsessions within hours and, in some </w:t>
      </w:r>
      <w:r>
        <w:rPr>
          <w:rFonts w:ascii="Times New Roman" w:eastAsia="Times New Roman" w:hAnsi="Times New Roman" w:cs="Times New Roman"/>
        </w:rPr>
        <w:t xml:space="preserve">patients, the benefit lasts a week or more [13]. Laboratory and animal work links that swift change to mTOR- and BDNF-dependent synaptogenesis [14]. Our results suggest that such structural repair is not merely an antidepressant curiosity but may directly </w:t>
      </w:r>
      <w:r>
        <w:rPr>
          <w:rFonts w:ascii="Times New Roman" w:eastAsia="Times New Roman" w:hAnsi="Times New Roman" w:cs="Times New Roman"/>
        </w:rPr>
        <w:t>tackle the core deficit that drives compulsivity.</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These findings also clarify why neurotransmitter-based strategies alone may fall short. If pruning has already left orbitofrontal-striatal loops sparsely connected, tweaking serotonin or GABA only reshapes</w:t>
      </w:r>
      <w:r>
        <w:rPr>
          <w:rFonts w:ascii="Times New Roman" w:eastAsia="Times New Roman" w:hAnsi="Times New Roman" w:cs="Times New Roman"/>
        </w:rPr>
        <w:t xml:space="preserve"> the remaining traffic; it does not reopen the closed lanes. Glutamate dysregulation, long observed in OCD tissue and imaging studies, may therefore reflect the brain's struggle to operate with too few synapses rather than a primary chemical fault. Interve</w:t>
      </w:r>
      <w:r>
        <w:rPr>
          <w:rFonts w:ascii="Times New Roman" w:eastAsia="Times New Roman" w:hAnsi="Times New Roman" w:cs="Times New Roman"/>
        </w:rPr>
        <w:t>ntions that spark new growth—whether pharmacological, such as ketamine, or physical, such as plasticity-inducing deep transcranial magnetic stimulation [15]—could offer more durable relief.</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17" w:name="_mm9x8vooguz8"/>
      <w:bookmarkEnd w:id="17"/>
      <w:r>
        <w:t>Clinical guidelines and therapeutic priorities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The modelling wor</w:t>
      </w:r>
      <w:r>
        <w:rPr>
          <w:rFonts w:ascii="Times New Roman" w:eastAsia="Times New Roman" w:hAnsi="Times New Roman" w:cs="Times New Roman"/>
        </w:rPr>
        <w:t>k helps explain why present‐day algorithms leave many patients only partly improved (Table 3). Selective serotonin re-uptake inhibitors remain the first pharmacological step and, when combined with exposure therapy, bring about a 50 % response rate; howeve</w:t>
      </w:r>
      <w:r>
        <w:rPr>
          <w:rFonts w:ascii="Times New Roman" w:eastAsia="Times New Roman" w:hAnsi="Times New Roman" w:cs="Times New Roman"/>
        </w:rPr>
        <w:t>r, symptoms often return when medication stops [2,11]. In the simulated network, SSRI-like "functional tuning" produced exactly that pattern—modest gains that disappeared once the external support was withdrawn—because the underlying pruning-related loss o</w:t>
      </w:r>
      <w:r>
        <w:rPr>
          <w:rFonts w:ascii="Times New Roman" w:eastAsia="Times New Roman" w:hAnsi="Times New Roman" w:cs="Times New Roman"/>
        </w:rPr>
        <w:t>f connections was never corrected.</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By contrast, the ketamine‐like intervention rebuilt synapses and therefore delivered the largest, most durable drop in perseveration. Human data already hint at the same principle: a single low-dose infusion can ease obs</w:t>
      </w:r>
      <w:r>
        <w:rPr>
          <w:rFonts w:ascii="Times New Roman" w:eastAsia="Times New Roman" w:hAnsi="Times New Roman" w:cs="Times New Roman"/>
        </w:rPr>
        <w:t>essions within hours and half of recipients still meet response criteria a week later [13]. If further trials confirm safety, guidelines may shift to offering rapid synaptogenic agents earlier, particularly for patients who show little movement after an ad</w:t>
      </w:r>
      <w:r>
        <w:rPr>
          <w:rFonts w:ascii="Times New Roman" w:eastAsia="Times New Roman" w:hAnsi="Times New Roman" w:cs="Times New Roman"/>
        </w:rPr>
        <w:t>equate SSRI trial.</w:t>
      </w: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240" w:lineRule="auto"/>
        <w:jc w:val="both"/>
      </w:pPr>
      <w:r>
        <w:rPr>
          <w:rFonts w:ascii="Times New Roman" w:eastAsia="Times New Roman" w:hAnsi="Times New Roman" w:cs="Times New Roman"/>
          <w:b/>
          <w:bCs/>
          <w:i/>
          <w:iCs/>
          <w:sz w:val="16"/>
          <w:szCs w:val="16"/>
        </w:rPr>
        <w:t>Table 3.</w:t>
      </w:r>
      <w:r>
        <w:rPr>
          <w:rFonts w:ascii="Times New Roman" w:eastAsia="Times New Roman" w:hAnsi="Times New Roman" w:cs="Times New Roman"/>
          <w:i/>
          <w:iCs/>
          <w:sz w:val="16"/>
          <w:szCs w:val="16"/>
        </w:rPr>
        <w:t xml:space="preserve"> Summary of therapeutic implications derived from the pruning-centric computational model. The comparison highlights the shift from functional maintenance (SSRIs) to structural repair (synaptogenic agents) and the necessity of </w:t>
      </w:r>
      <w:r>
        <w:rPr>
          <w:rFonts w:ascii="Times New Roman" w:eastAsia="Times New Roman" w:hAnsi="Times New Roman" w:cs="Times New Roman"/>
          <w:i/>
          <w:iCs/>
          <w:sz w:val="16"/>
          <w:szCs w:val="16"/>
        </w:rPr>
        <w:t>consolidation strategies.</w:t>
      </w:r>
    </w:p>
    <w:tbl>
      <w:tblPr>
        <w:tblW w:w="9025" w:type="dxa"/>
        <w:tblLayout w:type="fixed"/>
        <w:tblCellMar>
          <w:left w:w="10" w:type="dxa"/>
          <w:right w:w="10" w:type="dxa"/>
        </w:tblCellMar>
        <w:tblLook w:val="0000" w:firstRow="0" w:lastRow="0" w:firstColumn="0" w:lastColumn="0" w:noHBand="0" w:noVBand="0"/>
      </w:tblPr>
      <w:tblGrid>
        <w:gridCol w:w="1806"/>
        <w:gridCol w:w="2254"/>
        <w:gridCol w:w="2254"/>
        <w:gridCol w:w="2711"/>
      </w:tblGrid>
      <w:tr w:rsidR="00557438">
        <w:tblPrEx>
          <w:tblCellMar>
            <w:top w:w="0" w:type="dxa"/>
            <w:bottom w:w="0" w:type="dxa"/>
          </w:tblCellMar>
        </w:tblPrEx>
        <w:trPr>
          <w:trHeight w:val="600"/>
        </w:trPr>
        <w:tc>
          <w:tcPr>
            <w:tcW w:w="1805" w:type="dxa"/>
            <w:tcMar>
              <w:top w:w="56" w:type="dxa"/>
              <w:left w:w="56" w:type="dxa"/>
              <w:bottom w:w="56" w:type="dxa"/>
              <w:right w:w="56" w:type="dxa"/>
            </w:tcMar>
            <w:vAlign w:val="bottom"/>
          </w:tcPr>
          <w:p w:rsidR="00557438" w:rsidRDefault="00FB6873">
            <w:pPr>
              <w:pStyle w:val="Standard"/>
              <w:spacing w:line="240" w:lineRule="auto"/>
              <w:jc w:val="center"/>
            </w:pPr>
            <w:r>
              <w:rPr>
                <w:rFonts w:ascii="Times New Roman" w:eastAsia="Times New Roman" w:hAnsi="Times New Roman" w:cs="Times New Roman"/>
                <w:b/>
                <w:bCs/>
                <w:sz w:val="16"/>
                <w:szCs w:val="16"/>
              </w:rPr>
              <w:t>Therapeutic Intervention</w:t>
            </w:r>
          </w:p>
        </w:tc>
        <w:tc>
          <w:tcPr>
            <w:tcW w:w="2254" w:type="dxa"/>
            <w:tcMar>
              <w:top w:w="56" w:type="dxa"/>
              <w:left w:w="56" w:type="dxa"/>
              <w:bottom w:w="56" w:type="dxa"/>
              <w:right w:w="56" w:type="dxa"/>
            </w:tcMar>
            <w:vAlign w:val="bottom"/>
          </w:tcPr>
          <w:p w:rsidR="00557438" w:rsidRDefault="00FB6873">
            <w:pPr>
              <w:pStyle w:val="Standard"/>
              <w:spacing w:line="240" w:lineRule="auto"/>
              <w:jc w:val="center"/>
            </w:pPr>
            <w:r>
              <w:rPr>
                <w:rFonts w:ascii="Times New Roman" w:eastAsia="Times New Roman" w:hAnsi="Times New Roman" w:cs="Times New Roman"/>
                <w:b/>
                <w:bCs/>
                <w:sz w:val="16"/>
                <w:szCs w:val="16"/>
              </w:rPr>
              <w:t>Mechanism &amp; Model Insight</w:t>
            </w:r>
          </w:p>
        </w:tc>
        <w:tc>
          <w:tcPr>
            <w:tcW w:w="2254" w:type="dxa"/>
            <w:tcMar>
              <w:top w:w="56" w:type="dxa"/>
              <w:left w:w="56" w:type="dxa"/>
              <w:bottom w:w="56" w:type="dxa"/>
              <w:right w:w="56" w:type="dxa"/>
            </w:tcMar>
            <w:vAlign w:val="bottom"/>
          </w:tcPr>
          <w:p w:rsidR="00557438" w:rsidRDefault="00FB6873">
            <w:pPr>
              <w:pStyle w:val="Standard"/>
              <w:spacing w:line="240" w:lineRule="auto"/>
              <w:jc w:val="center"/>
            </w:pPr>
            <w:r>
              <w:rPr>
                <w:rFonts w:ascii="Times New Roman" w:eastAsia="Times New Roman" w:hAnsi="Times New Roman" w:cs="Times New Roman"/>
                <w:b/>
                <w:bCs/>
                <w:sz w:val="16"/>
                <w:szCs w:val="16"/>
              </w:rPr>
              <w:t>Clinical Profile &amp; Limitations</w:t>
            </w:r>
          </w:p>
        </w:tc>
        <w:tc>
          <w:tcPr>
            <w:tcW w:w="2711" w:type="dxa"/>
            <w:tcMar>
              <w:top w:w="56" w:type="dxa"/>
              <w:left w:w="56" w:type="dxa"/>
              <w:bottom w:w="56" w:type="dxa"/>
              <w:right w:w="56" w:type="dxa"/>
            </w:tcMar>
            <w:vAlign w:val="bottom"/>
          </w:tcPr>
          <w:p w:rsidR="00557438" w:rsidRDefault="00FB6873">
            <w:pPr>
              <w:pStyle w:val="Standard"/>
              <w:spacing w:line="240" w:lineRule="auto"/>
              <w:jc w:val="center"/>
            </w:pPr>
            <w:r>
              <w:rPr>
                <w:rFonts w:ascii="Times New Roman" w:eastAsia="Times New Roman" w:hAnsi="Times New Roman" w:cs="Times New Roman"/>
                <w:b/>
                <w:bCs/>
                <w:sz w:val="16"/>
                <w:szCs w:val="16"/>
              </w:rPr>
              <w:t>Proposed Guideline Priority</w:t>
            </w:r>
          </w:p>
        </w:tc>
      </w:tr>
      <w:tr w:rsidR="00557438">
        <w:tblPrEx>
          <w:tblCellMar>
            <w:top w:w="0" w:type="dxa"/>
            <w:bottom w:w="0" w:type="dxa"/>
          </w:tblCellMar>
        </w:tblPrEx>
        <w:trPr>
          <w:trHeight w:val="1140"/>
        </w:trPr>
        <w:tc>
          <w:tcPr>
            <w:tcW w:w="1805"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b/>
                <w:bCs/>
                <w:sz w:val="16"/>
                <w:szCs w:val="16"/>
              </w:rPr>
              <w:t>SSRIs</w:t>
            </w:r>
          </w:p>
          <w:p w:rsidR="00557438" w:rsidRDefault="00FB6873">
            <w:pPr>
              <w:pStyle w:val="Standard"/>
              <w:spacing w:line="240" w:lineRule="auto"/>
              <w:jc w:val="both"/>
            </w:pPr>
            <w:r>
              <w:rPr>
                <w:rFonts w:ascii="Times New Roman" w:eastAsia="Times New Roman" w:hAnsi="Times New Roman" w:cs="Times New Roman"/>
                <w:sz w:val="16"/>
                <w:szCs w:val="16"/>
              </w:rPr>
              <w:t>(e.g., Fluoxetine)</w:t>
            </w:r>
          </w:p>
        </w:tc>
        <w:tc>
          <w:tcPr>
            <w:tcW w:w="2254"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b/>
                <w:bCs/>
                <w:sz w:val="16"/>
                <w:szCs w:val="16"/>
              </w:rPr>
              <w:t>Functional Tuning:</w:t>
            </w:r>
            <w:r>
              <w:rPr>
                <w:rFonts w:ascii="Times New Roman" w:eastAsia="Times New Roman" w:hAnsi="Times New Roman" w:cs="Times New Roman"/>
                <w:sz w:val="16"/>
                <w:szCs w:val="16"/>
              </w:rPr>
              <w:t xml:space="preserve"> Modulates activity without correcting underlying pruning-induced connectivity loss.</w:t>
            </w:r>
          </w:p>
        </w:tc>
        <w:tc>
          <w:tcPr>
            <w:tcW w:w="2254"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sz w:val="16"/>
                <w:szCs w:val="16"/>
              </w:rPr>
              <w:t>~50% response rate with exposure therapy; gains are often modest and transient, with symptoms returning upon cessation.</w:t>
            </w:r>
          </w:p>
        </w:tc>
        <w:tc>
          <w:tcPr>
            <w:tcW w:w="2711"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sz w:val="16"/>
                <w:szCs w:val="16"/>
              </w:rPr>
              <w:t xml:space="preserve">Retain as first-line for patients with low genetic </w:t>
            </w:r>
            <w:r>
              <w:rPr>
                <w:rFonts w:ascii="Times New Roman" w:eastAsia="Times New Roman" w:hAnsi="Times New Roman" w:cs="Times New Roman"/>
                <w:sz w:val="16"/>
                <w:szCs w:val="16"/>
              </w:rPr>
              <w:t>risk; move quickly to alternatives if response is inadequate.</w:t>
            </w:r>
          </w:p>
        </w:tc>
      </w:tr>
      <w:tr w:rsidR="00557438">
        <w:tblPrEx>
          <w:tblCellMar>
            <w:top w:w="0" w:type="dxa"/>
            <w:bottom w:w="0" w:type="dxa"/>
          </w:tblCellMar>
        </w:tblPrEx>
        <w:trPr>
          <w:trHeight w:val="1140"/>
        </w:trPr>
        <w:tc>
          <w:tcPr>
            <w:tcW w:w="1805"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b/>
                <w:bCs/>
                <w:sz w:val="16"/>
                <w:szCs w:val="16"/>
              </w:rPr>
              <w:t>Synaptogenic Agents</w:t>
            </w:r>
          </w:p>
          <w:p w:rsidR="00557438" w:rsidRDefault="00FB6873">
            <w:pPr>
              <w:pStyle w:val="Standard"/>
              <w:spacing w:line="240" w:lineRule="auto"/>
              <w:jc w:val="both"/>
            </w:pPr>
            <w:r>
              <w:rPr>
                <w:rFonts w:ascii="Times New Roman" w:eastAsia="Times New Roman" w:hAnsi="Times New Roman" w:cs="Times New Roman"/>
                <w:sz w:val="16"/>
                <w:szCs w:val="16"/>
              </w:rPr>
              <w:t>(e.g., Ketamine)</w:t>
            </w:r>
          </w:p>
        </w:tc>
        <w:tc>
          <w:tcPr>
            <w:tcW w:w="2254"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b/>
                <w:bCs/>
                <w:sz w:val="16"/>
                <w:szCs w:val="16"/>
              </w:rPr>
              <w:t>Structural Repair:</w:t>
            </w:r>
            <w:r>
              <w:rPr>
                <w:rFonts w:ascii="Times New Roman" w:eastAsia="Times New Roman" w:hAnsi="Times New Roman" w:cs="Times New Roman"/>
                <w:sz w:val="16"/>
                <w:szCs w:val="16"/>
              </w:rPr>
              <w:t xml:space="preserve"> Rebuilds synapses, correcting the network deficit caused by exaggerated pruning.</w:t>
            </w:r>
          </w:p>
        </w:tc>
        <w:tc>
          <w:tcPr>
            <w:tcW w:w="2254"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sz w:val="16"/>
                <w:szCs w:val="16"/>
              </w:rPr>
              <w:t>Rapid onset (hours) with durable reduction in perseveration; superior efficacy in refractory cases.</w:t>
            </w:r>
          </w:p>
        </w:tc>
        <w:tc>
          <w:tcPr>
            <w:tcW w:w="2711"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sz w:val="16"/>
                <w:szCs w:val="16"/>
              </w:rPr>
              <w:t xml:space="preserve">Prioritize earlier for non-responders or those with high polygenic burden </w:t>
            </w:r>
            <w:r>
              <w:rPr>
                <w:rFonts w:ascii="Times New Roman" w:eastAsia="Times New Roman" w:hAnsi="Times New Roman" w:cs="Times New Roman"/>
                <w:sz w:val="16"/>
                <w:szCs w:val="16"/>
              </w:rPr>
              <w:t>in complement/microglial pathways.</w:t>
            </w:r>
          </w:p>
        </w:tc>
      </w:tr>
      <w:tr w:rsidR="00557438">
        <w:tblPrEx>
          <w:tblCellMar>
            <w:top w:w="0" w:type="dxa"/>
            <w:bottom w:w="0" w:type="dxa"/>
          </w:tblCellMar>
        </w:tblPrEx>
        <w:trPr>
          <w:trHeight w:val="1140"/>
        </w:trPr>
        <w:tc>
          <w:tcPr>
            <w:tcW w:w="1805"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b/>
                <w:bCs/>
                <w:sz w:val="16"/>
                <w:szCs w:val="16"/>
              </w:rPr>
              <w:t>Neurosteroids</w:t>
            </w:r>
          </w:p>
          <w:p w:rsidR="00557438" w:rsidRDefault="00FB6873">
            <w:pPr>
              <w:pStyle w:val="Standard"/>
              <w:spacing w:line="240" w:lineRule="auto"/>
              <w:jc w:val="both"/>
            </w:pPr>
            <w:r>
              <w:rPr>
                <w:rFonts w:ascii="Times New Roman" w:eastAsia="Times New Roman" w:hAnsi="Times New Roman" w:cs="Times New Roman"/>
                <w:sz w:val="16"/>
                <w:szCs w:val="16"/>
              </w:rPr>
              <w:t>(e.g., Zuranolone)</w:t>
            </w:r>
          </w:p>
        </w:tc>
        <w:tc>
          <w:tcPr>
            <w:tcW w:w="2254"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b/>
                <w:bCs/>
                <w:sz w:val="16"/>
                <w:szCs w:val="16"/>
              </w:rPr>
              <w:t>GABAergic Inhibition:</w:t>
            </w:r>
            <w:r>
              <w:rPr>
                <w:rFonts w:ascii="Times New Roman" w:eastAsia="Times New Roman" w:hAnsi="Times New Roman" w:cs="Times New Roman"/>
                <w:sz w:val="16"/>
                <w:szCs w:val="16"/>
              </w:rPr>
              <w:t xml:space="preserve"> Provides transient dampening of activity; loses efficacy without artificial scaling.</w:t>
            </w:r>
          </w:p>
        </w:tc>
        <w:tc>
          <w:tcPr>
            <w:tcW w:w="2254"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sz w:val="16"/>
                <w:szCs w:val="16"/>
              </w:rPr>
              <w:t>Likely ineffective as a stand-alone remedy for core OCD circuitry deficits.</w:t>
            </w:r>
          </w:p>
        </w:tc>
        <w:tc>
          <w:tcPr>
            <w:tcW w:w="2711"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sz w:val="16"/>
                <w:szCs w:val="16"/>
              </w:rPr>
              <w:t>Util</w:t>
            </w:r>
            <w:r>
              <w:rPr>
                <w:rFonts w:ascii="Times New Roman" w:eastAsia="Times New Roman" w:hAnsi="Times New Roman" w:cs="Times New Roman"/>
                <w:sz w:val="16"/>
                <w:szCs w:val="16"/>
              </w:rPr>
              <w:t>ize as a short-term anxiolytic add-on rather than a monotherapy.</w:t>
            </w:r>
          </w:p>
        </w:tc>
      </w:tr>
      <w:tr w:rsidR="00557438">
        <w:tblPrEx>
          <w:tblCellMar>
            <w:top w:w="0" w:type="dxa"/>
            <w:bottom w:w="0" w:type="dxa"/>
          </w:tblCellMar>
        </w:tblPrEx>
        <w:trPr>
          <w:trHeight w:val="870"/>
        </w:trPr>
        <w:tc>
          <w:tcPr>
            <w:tcW w:w="1805"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b/>
                <w:bCs/>
                <w:sz w:val="16"/>
                <w:szCs w:val="16"/>
              </w:rPr>
              <w:t>Consolidation Strategies</w:t>
            </w:r>
          </w:p>
          <w:p w:rsidR="00557438" w:rsidRDefault="00FB6873">
            <w:pPr>
              <w:pStyle w:val="Standard"/>
              <w:spacing w:line="240" w:lineRule="auto"/>
              <w:jc w:val="both"/>
            </w:pPr>
            <w:r>
              <w:rPr>
                <w:rFonts w:ascii="Times New Roman" w:eastAsia="Times New Roman" w:hAnsi="Times New Roman" w:cs="Times New Roman"/>
                <w:sz w:val="16"/>
                <w:szCs w:val="16"/>
              </w:rPr>
              <w:t>(CBT, Stimulation)</w:t>
            </w:r>
          </w:p>
        </w:tc>
        <w:tc>
          <w:tcPr>
            <w:tcW w:w="2254"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b/>
                <w:bCs/>
                <w:sz w:val="16"/>
                <w:szCs w:val="16"/>
              </w:rPr>
              <w:t>Stabilization:</w:t>
            </w:r>
            <w:r>
              <w:rPr>
                <w:rFonts w:ascii="Times New Roman" w:eastAsia="Times New Roman" w:hAnsi="Times New Roman" w:cs="Times New Roman"/>
                <w:sz w:val="16"/>
                <w:szCs w:val="16"/>
              </w:rPr>
              <w:t xml:space="preserve"> Protects newly regrown connections from subsequent pruning waves.</w:t>
            </w:r>
          </w:p>
        </w:tc>
        <w:tc>
          <w:tcPr>
            <w:tcW w:w="2254"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sz w:val="16"/>
                <w:szCs w:val="16"/>
              </w:rPr>
              <w:t>Prevents the "fading" of benefits often seen after single-dose plasticity treatments.</w:t>
            </w:r>
          </w:p>
        </w:tc>
        <w:tc>
          <w:tcPr>
            <w:tcW w:w="2711" w:type="dxa"/>
            <w:tcBorders>
              <w:bottom w:val="single" w:sz="4" w:space="0" w:color="E0E0E0"/>
            </w:tcBorders>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sz w:val="16"/>
                <w:szCs w:val="16"/>
              </w:rPr>
              <w:t>Mandatory follow-up to plasticity agents: "Kick-start" with drugs, "Lock-in" with therapy.</w:t>
            </w:r>
          </w:p>
        </w:tc>
      </w:tr>
      <w:tr w:rsidR="00557438">
        <w:tblPrEx>
          <w:tblCellMar>
            <w:top w:w="0" w:type="dxa"/>
            <w:bottom w:w="0" w:type="dxa"/>
          </w:tblCellMar>
        </w:tblPrEx>
        <w:trPr>
          <w:trHeight w:val="1155"/>
        </w:trPr>
        <w:tc>
          <w:tcPr>
            <w:tcW w:w="1805" w:type="dxa"/>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b/>
                <w:bCs/>
                <w:sz w:val="16"/>
                <w:szCs w:val="16"/>
              </w:rPr>
              <w:t>Precision S</w:t>
            </w:r>
            <w:r>
              <w:rPr>
                <w:rFonts w:ascii="Times New Roman" w:eastAsia="Times New Roman" w:hAnsi="Times New Roman" w:cs="Times New Roman"/>
                <w:b/>
                <w:bCs/>
                <w:sz w:val="16"/>
                <w:szCs w:val="16"/>
              </w:rPr>
              <w:t>tratification</w:t>
            </w:r>
          </w:p>
          <w:p w:rsidR="00557438" w:rsidRDefault="00FB6873">
            <w:pPr>
              <w:pStyle w:val="Standard"/>
              <w:spacing w:line="240" w:lineRule="auto"/>
              <w:jc w:val="both"/>
            </w:pPr>
            <w:r>
              <w:rPr>
                <w:rFonts w:ascii="Times New Roman" w:eastAsia="Times New Roman" w:hAnsi="Times New Roman" w:cs="Times New Roman"/>
                <w:sz w:val="16"/>
                <w:szCs w:val="16"/>
              </w:rPr>
              <w:t>(Genomic Markers)</w:t>
            </w:r>
          </w:p>
        </w:tc>
        <w:tc>
          <w:tcPr>
            <w:tcW w:w="2254" w:type="dxa"/>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b/>
                <w:bCs/>
                <w:sz w:val="16"/>
                <w:szCs w:val="16"/>
              </w:rPr>
              <w:t>Targeting Etiology:</w:t>
            </w:r>
            <w:r>
              <w:rPr>
                <w:rFonts w:ascii="Times New Roman" w:eastAsia="Times New Roman" w:hAnsi="Times New Roman" w:cs="Times New Roman"/>
                <w:sz w:val="16"/>
                <w:szCs w:val="16"/>
              </w:rPr>
              <w:t xml:space="preserve"> Matches treatment mechanism to specific biological deficits (e.g., over-pruning).</w:t>
            </w:r>
          </w:p>
        </w:tc>
        <w:tc>
          <w:tcPr>
            <w:tcW w:w="2254" w:type="dxa"/>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sz w:val="16"/>
                <w:szCs w:val="16"/>
              </w:rPr>
              <w:t>Reduces exposure to lengthy, ineffective trial-and-error sequences.</w:t>
            </w:r>
          </w:p>
        </w:tc>
        <w:tc>
          <w:tcPr>
            <w:tcW w:w="2711" w:type="dxa"/>
            <w:tcMar>
              <w:top w:w="56" w:type="dxa"/>
              <w:left w:w="56" w:type="dxa"/>
              <w:bottom w:w="56" w:type="dxa"/>
              <w:right w:w="56" w:type="dxa"/>
            </w:tcMar>
          </w:tcPr>
          <w:p w:rsidR="00557438" w:rsidRDefault="00FB6873">
            <w:pPr>
              <w:pStyle w:val="Standard"/>
              <w:spacing w:line="240" w:lineRule="auto"/>
              <w:jc w:val="both"/>
            </w:pPr>
            <w:r>
              <w:rPr>
                <w:rFonts w:ascii="Times New Roman" w:eastAsia="Times New Roman" w:hAnsi="Times New Roman" w:cs="Times New Roman"/>
                <w:sz w:val="16"/>
                <w:szCs w:val="16"/>
              </w:rPr>
              <w:t>Use genetic markers (complement/microglial load) to tr</w:t>
            </w:r>
            <w:r>
              <w:rPr>
                <w:rFonts w:ascii="Times New Roman" w:eastAsia="Times New Roman" w:hAnsi="Times New Roman" w:cs="Times New Roman"/>
                <w:sz w:val="16"/>
                <w:szCs w:val="16"/>
              </w:rPr>
              <w:t>iage patients toward structural repair vs. conventional</w:t>
            </w:r>
          </w:p>
        </w:tc>
      </w:tr>
    </w:tbl>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The simulations also suggest how treatment should be consolidated. Networks that underwent only brief regrowth remained vulnerable to a second pruning hit, mirroring the clinical </w:t>
      </w:r>
      <w:r>
        <w:rPr>
          <w:rFonts w:ascii="Times New Roman" w:eastAsia="Times New Roman" w:hAnsi="Times New Roman" w:cs="Times New Roman"/>
        </w:rPr>
        <w:t>observation that benefits fade without follow-up care. Combining ketamine with continued behavioural therapy, booster drug sessions, or plasticity-inducing brain stimulation [15] could stabilise the new circuitry and reduce relapse. Neurosteroid-style inhi</w:t>
      </w:r>
      <w:r>
        <w:rPr>
          <w:rFonts w:ascii="Times New Roman" w:eastAsia="Times New Roman" w:hAnsi="Times New Roman" w:cs="Times New Roman"/>
        </w:rPr>
        <w:t>bition, which lost almost all effect once the scaling factor was removed, appears better suited as a short-term anxiolytic add-on rather than a stand-alone remedy; early clinical experience with zuranolone in related disorders supports that reading [16].</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Finally, a pruning framework opens the door to precision prescribing. Patients who carry high polygenic risk in complement or microglial pathways might benefit most from structural repair, whereas those with lighter genetic loading could do well on traditi</w:t>
      </w:r>
      <w:r>
        <w:rPr>
          <w:rFonts w:ascii="Times New Roman" w:eastAsia="Times New Roman" w:hAnsi="Times New Roman" w:cs="Times New Roman"/>
        </w:rPr>
        <w:t>onal serotonergic drugs. Incorporating such genomic markers into decision trees would reduce exposure to lengthy, ineffective trials and allow swifter access to the mechanism most likely to help.</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Taken together, the evidence supports a stepped, mechanism-</w:t>
      </w:r>
      <w:r>
        <w:rPr>
          <w:rFonts w:ascii="Times New Roman" w:eastAsia="Times New Roman" w:hAnsi="Times New Roman" w:cs="Times New Roman"/>
        </w:rPr>
        <w:t>informed sequence: kick-start synaptic growth with a rapid plasticity agent, lock in the gains through cognitive or neuromodulatory consolidation, and use serotonergic or GABAergic drugs as needed for residual anxiety and mood symptoms. As comparative tria</w:t>
      </w:r>
      <w:r>
        <w:rPr>
          <w:rFonts w:ascii="Times New Roman" w:eastAsia="Times New Roman" w:hAnsi="Times New Roman" w:cs="Times New Roman"/>
        </w:rPr>
        <w:t>ls accumulate, future guidelines can move beyond a one-size-fits-all SSRI first line and offer patients a clearer path to durable remission.</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18" w:name="_xjk0etq3wb2d"/>
      <w:bookmarkEnd w:id="18"/>
      <w:r>
        <w:t>Novelty and potential impact</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The present work is, to our knowledge, the first to place exaggerated developmental </w:t>
      </w:r>
      <w:r>
        <w:rPr>
          <w:rFonts w:ascii="Times New Roman" w:eastAsia="Times New Roman" w:hAnsi="Times New Roman" w:cs="Times New Roman"/>
        </w:rPr>
        <w:t xml:space="preserve">pruning at centre stage in a recurrent model of cortico-striato-thalamo-cortical circuitry and then weigh competing treatments after matching them for the absolute magnitude of network change (Figure 3). Earlier OCD simulations have concentrated on skewed </w:t>
      </w:r>
      <w:r>
        <w:rPr>
          <w:rFonts w:ascii="Times New Roman" w:eastAsia="Times New Roman" w:hAnsi="Times New Roman" w:cs="Times New Roman"/>
        </w:rPr>
        <w:t>reinforcement learning, inflated uncertainty, or habit dominance [17,18,19]. They rarely modelled synapse elimination or contrasted structural and functional interventions under equivalent parametric pressure, leaving open the possibility that outcome diff</w:t>
      </w:r>
      <w:r>
        <w:rPr>
          <w:rFonts w:ascii="Times New Roman" w:eastAsia="Times New Roman" w:hAnsi="Times New Roman" w:cs="Times New Roman"/>
        </w:rPr>
        <w:t>erences simply reflected arbitrary scaling. By introducing an iso-dose procedure—using the L1 norm of weight change and systematic hyper-parameter sweeps—we remove that ambiguity and show that synaptogenic repair, modelled on ketamine's plasticity-promotin</w:t>
      </w:r>
      <w:r>
        <w:rPr>
          <w:rFonts w:ascii="Times New Roman" w:eastAsia="Times New Roman" w:hAnsi="Times New Roman" w:cs="Times New Roman"/>
        </w:rPr>
        <w:t>g profile, eclipses serotonin- or GABA-based functional tuning even when the overall "dose" of network alteration is held constant.</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This result provides a mechanistic bridge between genetic and imaging evidence pointing to complement-mediated over-pruning</w:t>
      </w:r>
      <w:r>
        <w:rPr>
          <w:rFonts w:ascii="Times New Roman" w:eastAsia="Times New Roman" w:hAnsi="Times New Roman" w:cs="Times New Roman"/>
        </w:rPr>
        <w:t xml:space="preserve"> in OCD and emerging clinical data on rapid plastogens. It also suggests a concrete route to precision care: individuals carrying a heavy polygenic burden in microglial or complement pathways might be prioritised for synaptogenic agents, while those with l</w:t>
      </w:r>
      <w:r>
        <w:rPr>
          <w:rFonts w:ascii="Times New Roman" w:eastAsia="Times New Roman" w:hAnsi="Times New Roman" w:cs="Times New Roman"/>
        </w:rPr>
        <w:t>ighter loads could start with more conventional options. By shortening today's lengthy trial-and-error sequences, such a strategy could lessen the lifelong impact and economic cost of refractory OCD.</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noProof/>
        </w:rPr>
        <w:drawing>
          <wp:inline distT="0" distB="0" distL="0" distR="0">
            <wp:extent cx="5731550" cy="6527901"/>
            <wp:effectExtent l="0" t="0" r="2500" b="6249"/>
            <wp:docPr id="3"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5731550" cy="6527901"/>
                    </a:xfrm>
                    <a:prstGeom prst="rect">
                      <a:avLst/>
                    </a:prstGeom>
                    <a:noFill/>
                    <a:ln>
                      <a:noFill/>
                      <a:prstDash/>
                    </a:ln>
                  </pic:spPr>
                </pic:pic>
              </a:graphicData>
            </a:graphic>
          </wp:inline>
        </w:drawing>
      </w:r>
    </w:p>
    <w:p w:rsidR="00557438" w:rsidRDefault="00FB6873">
      <w:pPr>
        <w:pStyle w:val="Standard"/>
        <w:spacing w:line="480" w:lineRule="auto"/>
        <w:jc w:val="both"/>
      </w:pPr>
      <w:r>
        <w:rPr>
          <w:rFonts w:ascii="Times New Roman" w:eastAsia="Times New Roman" w:hAnsi="Times New Roman" w:cs="Times New Roman"/>
          <w:b/>
          <w:bCs/>
          <w:i/>
          <w:iCs/>
          <w:sz w:val="16"/>
          <w:szCs w:val="16"/>
        </w:rPr>
        <w:t>Figure 3.</w:t>
      </w:r>
      <w:r>
        <w:rPr>
          <w:rFonts w:ascii="Times New Roman" w:eastAsia="Times New Roman" w:hAnsi="Times New Roman" w:cs="Times New Roman"/>
          <w:i/>
          <w:iCs/>
          <w:sz w:val="16"/>
          <w:szCs w:val="16"/>
        </w:rPr>
        <w:t xml:space="preserve"> Novelty and Potential Impact Flowchart. Thi</w:t>
      </w:r>
      <w:r>
        <w:rPr>
          <w:rFonts w:ascii="Times New Roman" w:eastAsia="Times New Roman" w:hAnsi="Times New Roman" w:cs="Times New Roman"/>
          <w:i/>
          <w:iCs/>
          <w:sz w:val="16"/>
          <w:szCs w:val="16"/>
        </w:rPr>
        <w:t>s diagram illustrates the progression from the limitations of prior computational psychiatry models (grey, dashed) to the specific methodological innovations introduced in this work (blue). Previous models often neglected synaptic elimination and relied on</w:t>
      </w:r>
      <w:r>
        <w:rPr>
          <w:rFonts w:ascii="Times New Roman" w:eastAsia="Times New Roman" w:hAnsi="Times New Roman" w:cs="Times New Roman"/>
          <w:i/>
          <w:iCs/>
          <w:sz w:val="16"/>
          <w:szCs w:val="16"/>
        </w:rPr>
        <w:t xml:space="preserve"> arbitrary scaling for treatment comparisons. By introducing an "Iso-Dose" procedure using L1 norm matching within a pruning-centric CSTC framework, the model isolates the superiority of structural repair mechanisms (yellow). This finding bridges the gap b</w:t>
      </w:r>
      <w:r>
        <w:rPr>
          <w:rFonts w:ascii="Times New Roman" w:eastAsia="Times New Roman" w:hAnsi="Times New Roman" w:cs="Times New Roman"/>
          <w:i/>
          <w:iCs/>
          <w:sz w:val="16"/>
          <w:szCs w:val="16"/>
        </w:rPr>
        <w:t>etween genetic evidence of complement-mediated over-pruning and clinical outcomes, supporting a precision psychiatry approach that prioritizes synaptogenic agents for specific patient profiles to reduce economic and personal burdens (green).</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19" w:name="_absv8nw1d359"/>
      <w:bookmarkEnd w:id="19"/>
      <w:r>
        <w:t>Limitations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Several caveats temper these conclusions. The gated-recurrent-unit architecture, although able to emulate feedback dynamics, abstracts away cell-type diversity, neuromodulators beyond the noise terms, and the exact timing of developmental wind</w:t>
      </w:r>
      <w:r>
        <w:rPr>
          <w:rFonts w:ascii="Times New Roman" w:eastAsia="Times New Roman" w:hAnsi="Times New Roman" w:cs="Times New Roman"/>
        </w:rPr>
        <w:t>ows. Our dose metric—mean absolute weight change—ignores many real-world considerations such as side-effect profiles or neuro-toxic limits. The simulations were seeded identically, potentially suppressing inter-subject variability. Moreover, the rule-switc</w:t>
      </w:r>
      <w:r>
        <w:rPr>
          <w:rFonts w:ascii="Times New Roman" w:eastAsia="Times New Roman" w:hAnsi="Times New Roman" w:cs="Times New Roman"/>
        </w:rPr>
        <w:t xml:space="preserve">hing task taps cognitive rigidity but not the emotional salience or content specificity of clinical obsessions. Finally, while pruning produced compulsive-like behaviour in silico, reciprocal or interactive pathways cannot be excluded without longitudinal </w:t>
      </w:r>
      <w:r>
        <w:rPr>
          <w:rFonts w:ascii="Times New Roman" w:eastAsia="Times New Roman" w:hAnsi="Times New Roman" w:cs="Times New Roman"/>
        </w:rPr>
        <w:t>human data.</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3"/>
      </w:pPr>
      <w:bookmarkStart w:id="20" w:name="_j58okwi24qwk"/>
      <w:bookmarkEnd w:id="20"/>
      <w:r>
        <w:t>Concluding remarks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Despite these constraints, the study strengthens a neuro-developmental account of OCD in which excessive pruning leaves key circuits under-connected and overly habitual. It also highlights structural repair as a more durabl</w:t>
      </w:r>
      <w:r>
        <w:rPr>
          <w:rFonts w:ascii="Times New Roman" w:eastAsia="Times New Roman" w:hAnsi="Times New Roman" w:cs="Times New Roman"/>
        </w:rPr>
        <w:t>e solution than approaches that merely rebalance transmitter tone. Coupling these insights with biomarkers—such as pruning-related polygenic scores or longitudinal synaptic imaging—and with trials of fast-acting plastogens could move the field toward mecha</w:t>
      </w:r>
      <w:r>
        <w:rPr>
          <w:rFonts w:ascii="Times New Roman" w:eastAsia="Times New Roman" w:hAnsi="Times New Roman" w:cs="Times New Roman"/>
        </w:rPr>
        <w:t>nism-guided, possibly preventive, interventions.</w:t>
      </w:r>
    </w:p>
    <w:p w:rsidR="00557438" w:rsidRDefault="00557438">
      <w:pPr>
        <w:pStyle w:val="Standard"/>
        <w:spacing w:line="480" w:lineRule="auto"/>
        <w:jc w:val="both"/>
        <w:rPr>
          <w:rFonts w:ascii="Times New Roman" w:eastAsia="Times New Roman" w:hAnsi="Times New Roman" w:cs="Times New Roman"/>
        </w:rPr>
      </w:pP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Heading2"/>
      </w:pPr>
      <w:bookmarkStart w:id="21" w:name="_fwx5gulk8mxx"/>
      <w:bookmarkEnd w:id="21"/>
      <w:r>
        <w:t>References</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[1] Ruscio, A. M., Stein, D. J., Chiu, W. T., et al. (2010). The epidemiology of obsessive-compulsive disorder in the National Comorbidity Survey Replication. Molecular Psychiatry, 15(1), 53–63</w:t>
      </w:r>
      <w:r>
        <w:rPr>
          <w:rFonts w:ascii="Times New Roman" w:eastAsia="Times New Roman" w:hAnsi="Times New Roman" w:cs="Times New Roman"/>
        </w:rPr>
        <w:t>. https://doi.org/10.1038/mp.2008.94</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[2] Fineberg, N. A., &amp; Gale, T. M. (2005). Evidence-based pharmacotherapy of obsessive–compulsive disorder. International Journal of Neuropsychopharmacology, 8(1), 107-129.</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[3] Pallanti, S., &amp; Quercioli, L. </w:t>
      </w:r>
      <w:r>
        <w:rPr>
          <w:rFonts w:ascii="Times New Roman" w:eastAsia="Times New Roman" w:hAnsi="Times New Roman" w:cs="Times New Roman"/>
        </w:rPr>
        <w:t>(2006). Treatment-refractory obsessive-compulsive disorder: methodological issues, operational definitions and therapeutic lines. Progress in Neuro-Psychopharmacology and Biological Psychiatry, 30(3), 400-412.</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[4] Milad, M. R., &amp; Rauch, S. L. (2012). Obse</w:t>
      </w:r>
      <w:r>
        <w:rPr>
          <w:rFonts w:ascii="Times New Roman" w:eastAsia="Times New Roman" w:hAnsi="Times New Roman" w:cs="Times New Roman"/>
        </w:rPr>
        <w:t>ssive-compulsive disorder: Beyond segregated cortico-striatal pathways. Trends in Cognitive Sciences, 16(1), 43–51. https://doi.org/10.1016/j.tics.2011.11.003</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[5] Pittenger, C., Bloch, M. H., &amp; Williams, K. (2011). Glutamate abnormalities in obsessive-com</w:t>
      </w:r>
      <w:r>
        <w:rPr>
          <w:rFonts w:ascii="Times New Roman" w:eastAsia="Times New Roman" w:hAnsi="Times New Roman" w:cs="Times New Roman"/>
        </w:rPr>
        <w:t>pulsive disorder: Neurobiology, pathophysiology, and treatment. Pharmacology &amp; Therapeutics, 132(3), 314–332. https://doi.org/10.1016/j.pharmthera.2011.09.006</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[6] Piantadosi, S. C., Chamberlain, B. L., Glausier, J. R., et al. (2021). Lower excitatory syna</w:t>
      </w:r>
      <w:r>
        <w:rPr>
          <w:rFonts w:ascii="Times New Roman" w:eastAsia="Times New Roman" w:hAnsi="Times New Roman" w:cs="Times New Roman"/>
        </w:rPr>
        <w:t>ptic gene expression in orbitofrontal cortex and striatum in an initial study of subjects with obsessive compulsive disorder. Molecular Psychiatry, 26(3), 986–998. https://doi.org/10.1038/s41380-019-0431-3</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[7] Xiao, Q., Hou, J., Xiao, L., et al. (2024). L</w:t>
      </w:r>
      <w:r>
        <w:rPr>
          <w:rFonts w:ascii="Times New Roman" w:eastAsia="Times New Roman" w:hAnsi="Times New Roman" w:cs="Times New Roman"/>
        </w:rPr>
        <w:t>ower synaptic density and its association with cognitive dysfunction in patients with obsessive-compulsive disorder. General Psychiatry, 37(3), e101208.</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[8] Sekar, A., Bialas, A. R., de Rivera, H., et al. (2016). Schizophrenia risk from complex variation </w:t>
      </w:r>
      <w:r>
        <w:rPr>
          <w:rFonts w:ascii="Times New Roman" w:eastAsia="Times New Roman" w:hAnsi="Times New Roman" w:cs="Times New Roman"/>
        </w:rPr>
        <w:t>of complement component 4. Nature, 530(7589), 177–183. https://doi.org/10.1038/nature16549</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[9] Huys, Q. J., Maia, T. V., &amp; Frank, M. J. (2016). Computational psychiatry as a bridge from neuroscience to clinical applications. Nature Neuroscience, 19(3), 40</w:t>
      </w:r>
      <w:r>
        <w:rPr>
          <w:rFonts w:ascii="Times New Roman" w:eastAsia="Times New Roman" w:hAnsi="Times New Roman" w:cs="Times New Roman"/>
        </w:rPr>
        <w:t>4–413. https://doi.org/10.1038/nn.4238</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[10] Maia, T. V., &amp; Frank, M. J. (2011). From reinforcement learning models to psychiatric and neurological disorders. Nature neuroscience, 14(2), 154-162.</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[11] Soomro, G. M., Altman, D. G., Rajagopal, S., et al. (2</w:t>
      </w:r>
      <w:r>
        <w:rPr>
          <w:rFonts w:ascii="Times New Roman" w:eastAsia="Times New Roman" w:hAnsi="Times New Roman" w:cs="Times New Roman"/>
        </w:rPr>
        <w:t>008). Selective serotonin re‐uptake inhibitors (SSRIs) versus placebo for obsessive compulsive disorder (OCD). Cochrane database of systematic reviews, (1).</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[12] Marecki, R., Kałuska, J., Kolanek, A., et al. (2023). Zuranolone–synthetic neurosteroid in tr</w:t>
      </w:r>
      <w:r>
        <w:rPr>
          <w:rFonts w:ascii="Times New Roman" w:eastAsia="Times New Roman" w:hAnsi="Times New Roman" w:cs="Times New Roman"/>
        </w:rPr>
        <w:t>eatment of mental disorders: narrative review. Frontiers in Psychiatry, 14, 1298359.</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[13] Rodriguez, C. I., Kegeles, L. S., Levinson, A., et al. (2013). Randomized controlled crossover trial of ketamine in obsessive-compulsive disorder: Proof-of-concept. </w:t>
      </w:r>
      <w:r>
        <w:rPr>
          <w:rFonts w:ascii="Times New Roman" w:eastAsia="Times New Roman" w:hAnsi="Times New Roman" w:cs="Times New Roman"/>
        </w:rPr>
        <w:t>Neuropsychopharmacology, 38(12), 2475–2483. https://doi.org/10.1038/npp.2013.150</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[14] Li, N., Lee, B., Liu, R. J., et al. (2010). mTOR-dependent synapse formation underlies the rapid antidepressant effects of NMDA antagonists. Science, 329(5994), 959–964.</w:t>
      </w:r>
      <w:r>
        <w:rPr>
          <w:rFonts w:ascii="Times New Roman" w:eastAsia="Times New Roman" w:hAnsi="Times New Roman" w:cs="Times New Roman"/>
        </w:rPr>
        <w:t xml:space="preserve"> https://doi.org/10.1126/science.1190287</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[15] Carmi, L., Tendler, A., Bystritsky, A., et al. (2019). Efficacy and Safety of Deep Transcranial Magnetic Stimulation for Obsessive-Compulsive Disorder: A Prospective Multicenter Randomized Double-Blind Placebo</w:t>
      </w:r>
      <w:r>
        <w:rPr>
          <w:rFonts w:ascii="Times New Roman" w:eastAsia="Times New Roman" w:hAnsi="Times New Roman" w:cs="Times New Roman"/>
        </w:rPr>
        <w:t>-Controlled Trial. The American journal of psychiatry, 176(11), 931–938. https://doi.org/10.1176/appi.ajp.2019.18101180</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 xml:space="preserve">[16] Gunduz-Bruce, H., Silber, C., Kaul, I., et al. (2019). Trial of SAGE-217 in patients with major depressive disorder. New </w:t>
      </w:r>
      <w:r>
        <w:rPr>
          <w:rFonts w:ascii="Times New Roman" w:eastAsia="Times New Roman" w:hAnsi="Times New Roman" w:cs="Times New Roman"/>
        </w:rPr>
        <w:t>England Journal of Medicine, 381(10), 903-911.</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[17] Gillan, C. M., Kosinski, M., Whelan, R., et al. (2016). Characterizing a psychiatric symptom dimension related to deficits in goal-directed control. elife, 5, e11305.</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[18] Fradkin, I., Adams, R. A., Par</w:t>
      </w:r>
      <w:r>
        <w:rPr>
          <w:rFonts w:ascii="Times New Roman" w:eastAsia="Times New Roman" w:hAnsi="Times New Roman" w:cs="Times New Roman"/>
        </w:rPr>
        <w:t>r, T., et al. (2020). Searching for an anchor in an unpredictable world: A computational model of obsessive compulsive disorder. Psychological review, 127(5), 672.</w:t>
      </w:r>
    </w:p>
    <w:p w:rsidR="00557438" w:rsidRDefault="00557438">
      <w:pPr>
        <w:pStyle w:val="Standard"/>
        <w:spacing w:line="480" w:lineRule="auto"/>
        <w:jc w:val="both"/>
        <w:rPr>
          <w:rFonts w:ascii="Times New Roman" w:eastAsia="Times New Roman" w:hAnsi="Times New Roman" w:cs="Times New Roman"/>
        </w:rPr>
      </w:pPr>
    </w:p>
    <w:p w:rsidR="00557438" w:rsidRDefault="00FB6873">
      <w:pPr>
        <w:pStyle w:val="Standard"/>
        <w:spacing w:line="480" w:lineRule="auto"/>
        <w:jc w:val="both"/>
      </w:pPr>
      <w:r>
        <w:rPr>
          <w:rFonts w:ascii="Times New Roman" w:eastAsia="Times New Roman" w:hAnsi="Times New Roman" w:cs="Times New Roman"/>
        </w:rPr>
        <w:t>[19] Loosen, A. M., Seow, T. X., &amp; Hauser, T. U. (2024). Consistency within change: Evaluat</w:t>
      </w:r>
      <w:r>
        <w:rPr>
          <w:rFonts w:ascii="Times New Roman" w:eastAsia="Times New Roman" w:hAnsi="Times New Roman" w:cs="Times New Roman"/>
        </w:rPr>
        <w:t>ing the psychometric properties of a widely used predictive-inference task. Behavior Research Methods, 56(7), 7410-7426.</w:t>
      </w:r>
    </w:p>
    <w:sectPr w:rsidR="00557438">
      <w:footerReference w:type="default" r:id="rId10"/>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0000" w:rsidRDefault="00FB6873">
      <w:r>
        <w:separator/>
      </w:r>
    </w:p>
  </w:endnote>
  <w:endnote w:type="continuationSeparator" w:id="0">
    <w:p w:rsidR="00000000" w:rsidRDefault="00FB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62F76" w:rsidRDefault="00FB6873">
    <w:pPr>
      <w:pStyle w:val="Standard"/>
      <w:jc w:val="right"/>
    </w:pPr>
    <w:r>
      <w:fldChar w:fldCharType="begin"/>
    </w:r>
    <w:r>
      <w:instrText xml:space="preserve"> PAGE </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0000" w:rsidRDefault="00FB6873">
      <w:r>
        <w:rPr>
          <w:color w:val="000000"/>
        </w:rPr>
        <w:separator/>
      </w:r>
    </w:p>
  </w:footnote>
  <w:footnote w:type="continuationSeparator" w:id="0">
    <w:p w:rsidR="00000000" w:rsidRDefault="00FB6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F10E5"/>
    <w:multiLevelType w:val="multilevel"/>
    <w:tmpl w:val="8F124642"/>
    <w:styleLink w:val="WWNum1"/>
    <w:lvl w:ilvl="0">
      <w:numFmt w:val="bullet"/>
      <w:lvlText w:val="●"/>
      <w:lvlJc w:val="left"/>
      <w:pPr>
        <w:ind w:left="720" w:hanging="360"/>
      </w:pPr>
      <w:rPr>
        <w:rFonts w:ascii="Times New Roman" w:hAnsi="Times New Roman"/>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0"/>
  </w:num>
  <w:num w:numId="2">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57438"/>
    <w:rsid w:val="00557438"/>
    <w:rsid w:val="00FB6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41207-4DB6-4277-9F63-55746A600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spacing w:line="480" w:lineRule="auto"/>
      <w:jc w:val="both"/>
      <w:outlineLvl w:val="1"/>
    </w:pPr>
    <w:rPr>
      <w:rFonts w:ascii="Times New Roman" w:eastAsia="Times New Roman" w:hAnsi="Times New Roman" w:cs="Times New Roman"/>
      <w:b/>
      <w:bCs/>
      <w:sz w:val="28"/>
      <w:szCs w:val="28"/>
    </w:rPr>
  </w:style>
  <w:style w:type="paragraph" w:styleId="Heading3">
    <w:name w:val="heading 3"/>
    <w:basedOn w:val="Normal"/>
    <w:next w:val="Standard"/>
    <w:uiPriority w:val="9"/>
    <w:unhideWhenUsed/>
    <w:qFormat/>
    <w:pPr>
      <w:keepNext/>
      <w:keepLines/>
      <w:spacing w:line="480" w:lineRule="auto"/>
      <w:jc w:val="both"/>
      <w:outlineLvl w:val="2"/>
    </w:pPr>
    <w:rPr>
      <w:rFonts w:ascii="Times New Roman" w:eastAsia="Times New Roman" w:hAnsi="Times New Roman" w:cs="Times New Roman"/>
      <w:b/>
      <w:bCs/>
      <w:i/>
      <w:iCs/>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iCs/>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Footer">
    <w:name w:val="footer"/>
    <w:basedOn w:val="Standard"/>
  </w:style>
  <w:style w:type="character" w:customStyle="1" w:styleId="ListLabel1">
    <w:name w:val="ListLabel 1"/>
    <w:rPr>
      <w:rFonts w:ascii="Times New Roman" w:eastAsia="Times New Roman" w:hAnsi="Times New Roman" w:cs="Times New Roman"/>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4477</Words>
  <Characters>25525</Characters>
  <Application>Microsoft Office Word</Application>
  <DocSecurity>0</DocSecurity>
  <Lines>212</Lines>
  <Paragraphs>59</Paragraphs>
  <ScaleCrop>false</ScaleCrop>
  <Company/>
  <LinksUpToDate>false</LinksUpToDate>
  <CharactersWithSpaces>29943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cloudconvert_2</cp:lastModifiedBy>
  <cp:revision>1</cp:revision>
  <dcterms:created xsi:type="dcterms:W3CDTF">2026-01-22T10:32:00Z</dcterms:created>
  <dcterms:modified xsi:type="dcterms:W3CDTF">2026-01-22T10:32:00Z</dcterms:modified>
</cp:coreProperties>
</file>